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core.xml" ContentType="application/vnd.openxmlformats-package.core-properties+xml"/>
  <Override PartName="/word/endnotes.xml" ContentType="application/vnd.openxmlformats-officedocument.wordprocessingml.endnotes+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828675" cy="609600"/>
                <wp:effectExtent l="0" t="0" r="0" b="0"/>
                <wp:docPr id="1" name="image3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/>
                        <pic:cNvPicPr/>
                        <pic:nvPr/>
                      </pic:nvPicPr>
                      <pic:blipFill>
                        <a:blip r:embed="rId12"/>
                        <a:stretch/>
                      </pic:blipFill>
                      <pic:spPr bwMode="auto">
                        <a:xfrm>
                          <a:off x="0" y="0"/>
                          <a:ext cx="828675" cy="6096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width:65.25pt;height:48.00pt;mso-wrap-distance-left:0.00pt;mso-wrap-distance-top:0.00pt;mso-wrap-distance-right:0.00pt;mso-wrap-distance-bottom:0.00pt;z-index:1;">
                <v:imagedata r:id="rId12" o:title=""/>
                <o:lock v:ext="edit" rotation="t"/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keepNext w:val="true"/>
        <w:widowControl w:val="false"/>
        <w:pBdr/>
        <w:spacing/>
        <w:ind w:left="-709"/>
        <w:jc w:val="center"/>
        <w:rPr>
          <w:rFonts w:ascii="Courier New" w:hAnsi="Courier New" w:eastAsia="Courier New" w:cs="Courier New"/>
          <w:sz w:val="24"/>
          <w:szCs w:val="24"/>
        </w:rPr>
      </w:pPr>
      <w:r>
        <w:rPr>
          <w:rFonts w:ascii="Courier New" w:hAnsi="Courier New" w:eastAsia="Courier New" w:cs="Courier New"/>
          <w:sz w:val="24"/>
          <w:szCs w:val="24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304800" cy="133350"/>
                <wp:effectExtent l="0" t="0" r="0" b="0"/>
                <wp:docPr id="2" name="image6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6.png"/>
                        <pic:cNvPicPr/>
                        <pic:nvPr/>
                      </pic:nvPicPr>
                      <pic:blipFill>
                        <a:blip r:embed="rId13"/>
                        <a:stretch/>
                      </pic:blipFill>
                      <pic:spPr bwMode="auto">
                        <a:xfrm>
                          <a:off x="0" y="0"/>
                          <a:ext cx="304800" cy="1333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" o:spid="_x0000_s1" type="#_x0000_t75" style="width:24.00pt;height:10.50pt;mso-wrap-distance-left:0.00pt;mso-wrap-distance-top:0.00pt;mso-wrap-distance-right:0.00pt;mso-wrap-distance-bottom:0.00pt;z-index:1;">
                <v:imagedata r:id="rId13" o:title=""/>
                <o:lock v:ext="edit" rotation="t"/>
              </v:shape>
            </w:pict>
          </mc:Fallback>
        </mc:AlternateContent>
      </w:r>
      <w:r>
        <w:rPr>
          <w:rFonts w:ascii="Courier New" w:hAnsi="Courier New" w:eastAsia="Courier New" w:cs="Courier New"/>
          <w:sz w:val="24"/>
          <w:szCs w:val="24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МИНИСТЕРСТВО НАУКИ И ВЫСШЕГО ОБРАЗОВАНИЯ РОССИЙСКОЙ ФЕДЕРАЦИИ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Федеральное государственное бюджетное образовательное учреждение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 высшего образования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«Кубанский государственный университет»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(ФГБОУ ВО «КубГУ»)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widowControl w:val="false"/>
        <w:pBdr/>
        <w:spacing/>
        <w:ind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</w:r>
      <w:r>
        <w:rPr>
          <w:rFonts w:ascii="Times New Roman" w:hAnsi="Times New Roman" w:eastAsia="Times New Roman" w:cs="Times New Roman"/>
          <w:b/>
          <w:sz w:val="24"/>
          <w:szCs w:val="24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Физико-технический факультет</w:t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Кафедра теоретической физики и компьютерных технологий</w:t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widowControl w:val="false"/>
        <w:pBdr/>
        <w:spacing/>
        <w:ind w:left="-851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ОТЧ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Е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Т</w:t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по лабораторной 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работе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№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3</w:t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«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ОБЩЕРОССИЙСКИЕ КЛАССИФИКАТОРЫ</w:t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ТЕХНИКО-ЭКОНОМИЧЕСКОЙ ИНФОРМАЦИИ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»</w:t>
      </w:r>
      <w:r>
        <w:rPr>
          <w:rFonts w:ascii="Times New Roman" w:hAnsi="Times New Roman" w:eastAsia="Times New Roman" w:cs="Times New Roman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Работу выполнил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  <w:t xml:space="preserve">Васильев Никита Евгениевич</w:t>
      </w:r>
      <w:r/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</w:r>
    </w:p>
    <w:p>
      <w:pPr>
        <w:pBdr/>
        <w:spacing/>
        <w:ind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Курс </w:t>
      </w:r>
      <w:r>
        <w:rPr>
          <w:rFonts w:ascii="Times New Roman" w:hAnsi="Times New Roman" w:cs="Times New Roman"/>
          <w:sz w:val="28"/>
          <w:szCs w:val="28"/>
        </w:rPr>
        <w:t xml:space="preserve">3</w:t>
      </w:r>
      <w:r>
        <w:rPr>
          <w:rFonts w:ascii="Times New Roman" w:hAnsi="Times New Roman" w:cs="Times New Roman"/>
          <w:sz w:val="28"/>
          <w:szCs w:val="28"/>
        </w:rPr>
      </w:r>
    </w:p>
    <w:p>
      <w:pPr>
        <w:pBdr/>
        <w:spacing/>
        <w:ind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Направление подготовки 09.03.02 Информационные системы и технологии</w:t>
      </w:r>
      <w:r>
        <w:rPr>
          <w:rFonts w:ascii="Times New Roman" w:hAnsi="Times New Roman" w:cs="Times New Roman"/>
          <w:sz w:val="28"/>
          <w:szCs w:val="28"/>
        </w:rPr>
      </w:r>
    </w:p>
    <w:p>
      <w:pPr>
        <w:pBdr/>
        <w:spacing/>
        <w:ind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Преподават</w:t>
      </w:r>
      <w:r>
        <w:rPr>
          <w:rFonts w:ascii="Times New Roman" w:hAnsi="Times New Roman" w:cs="Times New Roman"/>
          <w:sz w:val="28"/>
          <w:szCs w:val="28"/>
        </w:rPr>
        <w:t xml:space="preserve">ель Парфенова И. А.</w:t>
      </w:r>
      <w:r>
        <w:rPr>
          <w:rFonts w:ascii="Times New Roman" w:hAnsi="Times New Roman" w:cs="Times New Roman"/>
          <w:sz w:val="28"/>
          <w:szCs w:val="28"/>
        </w:rPr>
      </w:r>
    </w:p>
    <w:p>
      <w:pPr>
        <w:pBdr/>
        <w:spacing/>
        <w:ind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Должность Доцент</w:t>
      </w:r>
      <w:r>
        <w:rPr>
          <w:rFonts w:ascii="Times New Roman" w:hAnsi="Times New Roman" w:cs="Times New Roman"/>
          <w:sz w:val="28"/>
          <w:szCs w:val="28"/>
        </w:rPr>
      </w:r>
    </w:p>
    <w:p>
      <w:pPr>
        <w:pBdr/>
        <w:spacing/>
        <w:ind w:left="-851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 w:left="-85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  <w:highlight w:val="yellow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yellow"/>
        </w:rPr>
      </w:r>
      <w:r>
        <w:rPr>
          <w:rFonts w:ascii="Times New Roman" w:hAnsi="Times New Roman" w:eastAsia="Times New Roman" w:cs="Times New Roman"/>
          <w:sz w:val="24"/>
          <w:szCs w:val="24"/>
          <w:highlight w:val="yellow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  <w:highlight w:val="yellow"/>
        </w:rPr>
      </w:pPr>
      <w:r>
        <w:rPr>
          <w:rFonts w:ascii="Times New Roman" w:hAnsi="Times New Roman" w:eastAsia="Times New Roman" w:cs="Times New Roman"/>
          <w:sz w:val="24"/>
          <w:szCs w:val="24"/>
          <w:highlight w:val="yellow"/>
        </w:rPr>
      </w:r>
      <w:r>
        <w:rPr>
          <w:rFonts w:ascii="Times New Roman" w:hAnsi="Times New Roman" w:eastAsia="Times New Roman" w:cs="Times New Roman"/>
          <w:sz w:val="24"/>
          <w:szCs w:val="24"/>
          <w:highlight w:val="yellow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pBdr/>
        <w:spacing/>
        <w:ind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Краснодар, 202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5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г.</w:t>
      </w:r>
      <w:r>
        <w:rPr>
          <w:rFonts w:ascii="Times New Roman" w:hAnsi="Times New Roman" w:eastAsia="Times New Roman" w:cs="Times New Roman"/>
          <w:sz w:val="24"/>
          <w:szCs w:val="24"/>
        </w:rPr>
        <w:br w:type="page" w:clear="all"/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sdt>
      <w:sdtPr>
        <w15:appearance w15:val="boundingBox"/>
        <w:id w:val="1435554735"/>
        <w:rPr>
          <w:rFonts w:ascii="Calibri" w:hAnsi="Calibri" w:eastAsia="Calibri" w:cs="Calibri"/>
          <w:color w:val="auto"/>
          <w:sz w:val="22"/>
          <w:szCs w:val="22"/>
        </w:rPr>
      </w:sdtPr>
      <w:sdtContent>
        <w:p>
          <w:pPr>
            <w:pStyle w:val="812"/>
            <w:pBdr/>
            <w:spacing/>
            <w:ind/>
            <w:jc w:val="center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 xml:space="preserve">Содержание</w:t>
          </w:r>
          <w:r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r>
        </w:p>
        <w:p>
          <w:pPr>
            <w:pBdr/>
            <w:spacing/>
            <w:ind/>
            <w:rPr/>
          </w:pPr>
          <w:r/>
          <w:r/>
        </w:p>
        <w:p>
          <w:pPr>
            <w:pStyle w:val="813"/>
            <w:pBdr/>
            <w:tabs>
              <w:tab w:val="right" w:leader="dot" w:pos="9344"/>
            </w:tabs>
            <w:spacing/>
            <w:ind/>
            <w:rPr>
              <w:rFonts w:ascii="Times New Roman" w:hAnsi="Times New Roman" w:cs="Times New Roman" w:eastAsiaTheme="minorEastAsia"/>
              <w:sz w:val="28"/>
              <w:szCs w:val="28"/>
            </w:rPr>
          </w:pPr>
          <w:r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begin"/>
          </w:r>
          <w:r>
            <w:rPr>
              <w:rFonts w:ascii="Times New Roman" w:hAnsi="Times New Roman" w:cs="Times New Roman"/>
              <w:b/>
              <w:bCs/>
              <w:sz w:val="28"/>
              <w:szCs w:val="28"/>
            </w:rPr>
            <w:instrText xml:space="preserve"> TOC \o "1-3" \h \z \u </w:instrText>
          </w:r>
          <w:r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separate"/>
          </w:r>
          <w:hyperlink w:tooltip="#_Toc177070546" w:anchor="_Toc177070546" w:history="1">
            <w:r>
              <w:rPr>
                <w:rStyle w:val="800"/>
                <w:rFonts w:ascii="Times New Roman" w:hAnsi="Times New Roman" w:eastAsia="Times New Roman" w:cs="Times New Roman"/>
                <w:sz w:val="28"/>
                <w:szCs w:val="28"/>
              </w:rPr>
              <w:t xml:space="preserve">Введение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sz w:val="28"/>
                <w:szCs w:val="28"/>
              </w:rPr>
              <w:instrText xml:space="preserve"> PAGEREF _Toc177070546 \h </w:instrTex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hyperlink>
          <w:r/>
          <w:r>
            <w:rPr>
              <w:rFonts w:ascii="Times New Roman" w:hAnsi="Times New Roman" w:cs="Times New Roman" w:eastAsiaTheme="minorEastAsia"/>
              <w:sz w:val="28"/>
              <w:szCs w:val="28"/>
            </w:rPr>
          </w:r>
        </w:p>
        <w:p>
          <w:pPr>
            <w:pStyle w:val="813"/>
            <w:pBdr/>
            <w:tabs>
              <w:tab w:val="right" w:leader="dot" w:pos="9344"/>
            </w:tabs>
            <w:spacing/>
            <w:ind/>
            <w:rPr>
              <w:rFonts w:ascii="Times New Roman" w:hAnsi="Times New Roman" w:cs="Times New Roman" w:eastAsiaTheme="minorEastAsia"/>
              <w:sz w:val="28"/>
              <w:szCs w:val="28"/>
            </w:rPr>
          </w:pPr>
          <w:r/>
          <w:hyperlink w:tooltip="#_Toc177070547" w:anchor="_Toc177070547" w:history="1">
            <w:r>
              <w:rPr>
                <w:rStyle w:val="800"/>
                <w:rFonts w:ascii="Times New Roman" w:hAnsi="Times New Roman" w:eastAsia="Times New Roman" w:cs="Times New Roman"/>
                <w:sz w:val="28"/>
                <w:szCs w:val="28"/>
              </w:rPr>
              <w:t xml:space="preserve">Задание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</w:t>
            </w:r>
          </w:hyperlink>
          <w:r/>
          <w:r>
            <w:rPr>
              <w:rFonts w:ascii="Times New Roman" w:hAnsi="Times New Roman" w:cs="Times New Roman" w:eastAsiaTheme="minorEastAsia"/>
              <w:sz w:val="28"/>
              <w:szCs w:val="28"/>
            </w:rPr>
          </w:r>
        </w:p>
        <w:p>
          <w:pPr>
            <w:pStyle w:val="813"/>
            <w:pBdr/>
            <w:tabs>
              <w:tab w:val="right" w:leader="dot" w:pos="9344"/>
            </w:tabs>
            <w:spacing/>
            <w:ind/>
            <w:rPr>
              <w:rFonts w:ascii="Times New Roman" w:hAnsi="Times New Roman" w:cs="Times New Roman" w:eastAsiaTheme="minorEastAsia"/>
              <w:sz w:val="28"/>
              <w:szCs w:val="28"/>
            </w:rPr>
          </w:pPr>
          <w:r/>
          <w:hyperlink w:tooltip="#_Toc177070547" w:anchor="_Toc177070547" w:history="1">
            <w:r>
              <w:rPr>
                <w:rStyle w:val="800"/>
                <w:rFonts w:ascii="Times New Roman" w:hAnsi="Times New Roman" w:eastAsia="Times New Roman" w:cs="Times New Roman"/>
                <w:sz w:val="28"/>
                <w:szCs w:val="28"/>
              </w:rPr>
              <w:t xml:space="preserve">Теоретическая часть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</w:t>
            </w:r>
            <w:bookmarkStart w:id="0" w:name="_GoBack"/>
            <w:bookmarkEnd w:id="0"/>
          </w:hyperlink>
          <w:r/>
          <w:r>
            <w:rPr>
              <w:rFonts w:ascii="Times New Roman" w:hAnsi="Times New Roman" w:cs="Times New Roman" w:eastAsiaTheme="minorEastAsia"/>
              <w:sz w:val="28"/>
              <w:szCs w:val="28"/>
            </w:rPr>
          </w:r>
        </w:p>
        <w:p>
          <w:pPr>
            <w:pStyle w:val="813"/>
            <w:pBdr/>
            <w:tabs>
              <w:tab w:val="right" w:leader="dot" w:pos="9344"/>
            </w:tabs>
            <w:spacing/>
            <w:ind/>
            <w:rPr>
              <w:rFonts w:ascii="Times New Roman" w:hAnsi="Times New Roman" w:cs="Times New Roman" w:eastAsiaTheme="minorEastAsia"/>
              <w:sz w:val="28"/>
              <w:szCs w:val="28"/>
            </w:rPr>
          </w:pPr>
          <w:r/>
          <w:hyperlink w:tooltip="#_Toc177070547" w:anchor="_Toc177070547" w:history="1">
            <w:r>
              <w:rPr>
                <w:rStyle w:val="800"/>
                <w:rFonts w:ascii="Times New Roman" w:hAnsi="Times New Roman" w:eastAsia="Times New Roman" w:cs="Times New Roman"/>
                <w:sz w:val="28"/>
                <w:szCs w:val="28"/>
              </w:rPr>
              <w:t xml:space="preserve">Практическая часть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</w:t>
            </w:r>
          </w:hyperlink>
          <w:r/>
          <w:r>
            <w:rPr>
              <w:rFonts w:ascii="Times New Roman" w:hAnsi="Times New Roman" w:cs="Times New Roman" w:eastAsiaTheme="minorEastAsia"/>
              <w:sz w:val="28"/>
              <w:szCs w:val="28"/>
            </w:rPr>
          </w:r>
        </w:p>
        <w:p>
          <w:pPr>
            <w:pStyle w:val="813"/>
            <w:pBdr/>
            <w:tabs>
              <w:tab w:val="right" w:leader="dot" w:pos="9344"/>
            </w:tabs>
            <w:spacing/>
            <w:ind/>
            <w:rPr>
              <w:rFonts w:ascii="Times New Roman" w:hAnsi="Times New Roman" w:cs="Times New Roman" w:eastAsiaTheme="minorEastAsia"/>
              <w:sz w:val="28"/>
              <w:szCs w:val="28"/>
            </w:rPr>
          </w:pPr>
          <w:r/>
          <w:hyperlink w:tooltip="#_Toc177070548" w:anchor="_Toc177070548" w:history="1">
            <w:r>
              <w:rPr>
                <w:rStyle w:val="800"/>
                <w:rFonts w:ascii="Times New Roman" w:hAnsi="Times New Roman" w:eastAsia="Times New Roman" w:cs="Times New Roman"/>
                <w:sz w:val="28"/>
                <w:szCs w:val="28"/>
              </w:rPr>
              <w:t xml:space="preserve">Заключение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</w:t>
            </w:r>
          </w:hyperlink>
          <w:r/>
          <w:r>
            <w:rPr>
              <w:rFonts w:ascii="Times New Roman" w:hAnsi="Times New Roman" w:cs="Times New Roman" w:eastAsiaTheme="minorEastAsia"/>
              <w:sz w:val="28"/>
              <w:szCs w:val="28"/>
            </w:rPr>
          </w:r>
        </w:p>
        <w:p>
          <w:pPr>
            <w:pBdr/>
            <w:spacing/>
            <w:ind/>
            <w:rPr/>
          </w:pPr>
          <w:r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  <w:r/>
        </w:p>
      </w:sdtContent>
    </w:sdt>
    <w:p>
      <w:pPr>
        <w:pBdr/>
        <w:spacing w:line="360" w:lineRule="auto"/>
        <w:ind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/>
        <w:ind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br w:type="page" w:clear="all"/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Style w:val="785"/>
        <w:pBdr/>
        <w:spacing w:line="360" w:lineRule="auto"/>
        <w:ind w:firstLine="709"/>
        <w:jc w:val="center"/>
        <w:rPr>
          <w:rFonts w:ascii="Times New Roman" w:hAnsi="Times New Roman" w:eastAsia="Times New Roman" w:cs="Times New Roman"/>
          <w:sz w:val="28"/>
          <w:szCs w:val="28"/>
        </w:rPr>
      </w:pPr>
      <w:r/>
      <w:bookmarkStart w:id="1" w:name="_Toc177070546"/>
      <w:r>
        <w:rPr>
          <w:rFonts w:ascii="Times New Roman" w:hAnsi="Times New Roman" w:eastAsia="Times New Roman" w:cs="Times New Roman"/>
          <w:sz w:val="28"/>
          <w:szCs w:val="28"/>
        </w:rPr>
        <w:t xml:space="preserve">Введение</w:t>
      </w:r>
      <w:bookmarkEnd w:id="1"/>
      <w:r/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Целью выполнения данной работы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является освоение работы с общероссийским классификатором ЕСКД, выделение существенных признаков объектов классификации и приобретение навыков их идентификации путем присвоения обозначения изделиям и конструкторским документам в соответствии с ГОСТ 2.201.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br w:type="page" w:clear="all"/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Style w:val="785"/>
        <w:pBdr/>
        <w:spacing w:line="360" w:lineRule="auto"/>
        <w:ind w:firstLine="709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Задание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/>
        <w:rPr/>
      </w:pPr>
      <w:r/>
      <w:r/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Задание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3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.1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Для объекта «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Анализаторы радиоспектрометрические с измерением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амплитуды СВЧ колебаний</w:t>
      </w:r>
      <w:r/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», приведенного в таблице 3.1 методических указаний, присвоить код классификационной характеристики, используя Общероссийский классификатор изделий и конструкторских документов ОК 012-93 (Классификатор ЕСКД).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105525" cy="3048000"/>
                <wp:effectExtent l="0" t="0" r="9525" b="0"/>
                <wp:docPr id="3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14"/>
                        <a:stretch/>
                      </pic:blipFill>
                      <pic:spPr bwMode="auto">
                        <a:xfrm>
                          <a:off x="0" y="0"/>
                          <a:ext cx="6105525" cy="304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" o:spid="_x0000_s2" type="#_x0000_t75" style="width:480.75pt;height:240.00pt;mso-wrap-distance-left:0.00pt;mso-wrap-distance-top:0.00pt;mso-wrap-distance-right:0.00pt;mso-wrap-distance-bottom:0.00pt;z-index:1;" stroked="false">
                <v:imagedata r:id="rId14" o:title=""/>
                <o:lock v:ext="edit" rotation="t"/>
              </v:shape>
            </w:pict>
          </mc:Fallback>
        </mc:AlternateConten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Задание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3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.2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Проанализировать и расписать структуру присвоенного кода классификационной характеристики с указанием выявленных признаков (класс, подкласс, группа, подгруппа, вид).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Задание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3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.3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соответствии с ГОСТ 2.201, сформировать и расписать структуру полного обозначения для изделия, отразив источники нахождения соответствующих кодов.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Задание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3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.4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Ответить в письменном виде на следующие вопросы.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Является ли ОК нормативным документом?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Для чего нужны ОК (привести примеры и отразить общие сведения по известным классификаторам)?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Какой орган допускает ОК к использованию на территории РФ?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Как взаимосвязаны ОК ЕСКД и ГОСТ 2.201?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Какую информацию заключают в себе части обозначения изделия, разделенные точками в соответствии со структурой обозначения изделия, приведенной в ГОСТ 2.201?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Где следует искать присваиваемое числовое/буквенное обозначение соответствующей части, входящей в обозначение изделия?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Задание 2.5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Результаты выполнения заданий поместить в отчет и сделать выводы о проделанной работе.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/>
        <w:ind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br w:type="page" w:clear="all"/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Style w:val="785"/>
        <w:pBdr/>
        <w:spacing w:line="360" w:lineRule="auto"/>
        <w:ind w:firstLine="709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Теоретическая часть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/>
      </w:pPr>
      <w:r/>
      <w:r/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Общероссийский классификатор — это нормативн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ый документ в области стандартизации, который распределяет технико-экономическую и социальную информацию в соответствии с ее классификацией (классами, группами, видами и др.) и является обязательным для применения в государственных информационных системах.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Классификатор ЕСКД (ОК 012-93) — Общероссийский классификатор изделий и конструкторских документов, предназнач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енный для обеспечения единой системы классификации и кодирования изделий основного и вспомогательного производства и их конструкторских документов. Структура классификатора имеет иерархическую систему с 6 уровнями: класс, подкласс, группа, подгруппа и вид.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ГОСТ 2.201 «ЕСКД. Обозначение изделий и конструкторских документов» — стандарт, устанавливающий единую обезличенную систему обозначения изделий и их конструкторских документов. Обозначение, согласно стандарту, должно иметь следующую структуру: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АБВГ.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012345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678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, где: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АБВГ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–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четырехзначный буквенный код организации-разработчика, присваиваемый в установленном порядке.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012345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–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шестизначный цифровой код классификационной характеристики, присваиваемый изделию по классификатору ЕСКД.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678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–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трехзначный порядковый регистрационный номер, присваиваемый разработчиком.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Взаимосвязь ОК ЕСКД и ГОСТ 2.201: Классификатор ЕСКД предоставляет обязательную составную часть (классификационную характеристику) для формирования полного обозначения изделия, структура которого определяется стандартом ГОСТ 2.201.</w:t>
      </w:r>
      <w:r>
        <w:rPr>
          <w:rFonts w:ascii="Times New Roman" w:hAnsi="Times New Roman" w:eastAsia="Times New Roman" w:cs="Times New Roman"/>
          <w:sz w:val="28"/>
          <w:szCs w:val="28"/>
        </w:rPr>
        <w:br w:type="page" w:clear="all"/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Style w:val="785"/>
        <w:pBdr/>
        <w:spacing/>
        <w:ind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Практическая часть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/>
      </w:pPr>
      <w:r/>
      <w:r/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Задание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3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.1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Наименование разрабатываемого объекта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  <w:t xml:space="preserve">Анализаторы радиоспектрометрические с измерением амплитуды СВЧ колебаний</w:t>
      </w:r>
      <w:r>
        <w:rPr>
          <w:rFonts w:ascii="Times New Roman" w:hAnsi="Times New Roman" w:cs="Times New Roman"/>
          <w:sz w:val="28"/>
          <w:szCs w:val="28"/>
        </w:rPr>
        <w:t xml:space="preserve">.</w:t>
      </w:r>
      <w:r>
        <w:rPr>
          <w:rFonts w:ascii="Times New Roman" w:hAnsi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Код классификационной характеристики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415431</w:t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Задание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3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2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Style w:val="785"/>
        <w:pBdr/>
        <w:spacing w:after="0" w:before="0"/>
        <w:ind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Style w:val="785"/>
        <w:pBdr/>
        <w:spacing w:after="0" w:before="0"/>
        <w:ind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3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1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Структура кода классификационной характеристики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tbl>
      <w:tblPr>
        <w:tblStyle w:val="803"/>
        <w:tblW w:w="0" w:type="auto"/>
        <w:tblBorders/>
        <w:tblLook w:val="04A0" w:firstRow="1" w:lastRow="0" w:firstColumn="1" w:lastColumn="0" w:noHBand="0" w:noVBand="1"/>
      </w:tblPr>
      <w:tblGrid>
        <w:gridCol w:w="1806"/>
        <w:gridCol w:w="2056"/>
        <w:gridCol w:w="5992"/>
      </w:tblGrid>
      <w:tr>
        <w:trPr/>
        <w:tc>
          <w:tcPr>
            <w:tcBorders/>
            <w:tcW w:w="1809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Код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2042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Уровень классификации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6003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группировки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809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41 0000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2042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6003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Средства измерений электрических и магнитных величин, ионизирующих излучений,</w:t>
            </w:r>
            <w:r/>
          </w:p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средства интроскопии, определения состава и физико-химических свойств веществ</w:t>
            </w:r>
            <w:r/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809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41 5000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2042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Подкласс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6003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Средства определения состава и свойств твердых и сыпучих веществ, средства универсальные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809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41 5400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2042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6003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Анализаторы и преобразователи масс-спектрометрические, радиоспектрометрические, рентгенорадиометрические, универсальные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809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41 54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30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2042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Подгруппа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6003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Анализаторы радиоспектрометрические</w:t>
            </w:r>
            <w:r/>
          </w:p>
        </w:tc>
      </w:tr>
      <w:tr>
        <w:trPr/>
        <w:tc>
          <w:tcPr>
            <w:tcBorders/>
            <w:tcW w:w="1809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41 54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2042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6003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Электропарамагнитного резонанса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</w:tbl>
    <w:p>
      <w:pPr>
        <w:pBdr/>
        <w:spacing w:line="360" w:lineRule="auto"/>
        <w:ind w:firstLine="0"/>
        <w:jc w:val="both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</w:p>
    <w:p>
      <w:pPr>
        <w:pBdr/>
        <w:spacing w:line="360" w:lineRule="auto"/>
        <w:ind w:firstLine="0"/>
        <w:jc w:val="both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</w:p>
    <w:p>
      <w:pPr>
        <w:pBdr/>
        <w:spacing w:line="360" w:lineRule="auto"/>
        <w:ind w:firstLine="0"/>
        <w:jc w:val="both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</w:p>
    <w:p>
      <w:pPr>
        <w:pBdr/>
        <w:spacing w:line="360" w:lineRule="auto"/>
        <w:ind w:firstLine="0"/>
        <w:jc w:val="both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</w:p>
    <w:p>
      <w:pPr>
        <w:pBdr/>
        <w:spacing w:line="360" w:lineRule="auto"/>
        <w:ind w:firstLine="0"/>
        <w:jc w:val="both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</w:p>
    <w:p>
      <w:pPr>
        <w:pBdr/>
        <w:spacing w:line="360" w:lineRule="auto"/>
        <w:ind w:firstLine="0"/>
        <w:jc w:val="both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</w:p>
    <w:p>
      <w:pPr>
        <w:pBdr/>
        <w:spacing w:line="360" w:lineRule="auto"/>
        <w:ind w:firstLine="0"/>
        <w:jc w:val="both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Задание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3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3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 xml:space="preserve">Таблица </w:t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 xml:space="preserve">3</w:t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 xml:space="preserve">.2 – </w:t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 xml:space="preserve">Структура полного обозначения изделия</w:t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</w:p>
    <w:tbl>
      <w:tblPr>
        <w:tblStyle w:val="803"/>
        <w:tblW w:w="0" w:type="auto"/>
        <w:tblBorders/>
        <w:tblLook w:val="04A0" w:firstRow="1" w:lastRow="0" w:firstColumn="1" w:lastColumn="0" w:noHBand="0" w:noVBand="1"/>
      </w:tblPr>
      <w:tblGrid>
        <w:gridCol w:w="1717"/>
        <w:gridCol w:w="3211"/>
        <w:gridCol w:w="4926"/>
      </w:tblGrid>
      <w:tr>
        <w:trPr/>
        <w:tc>
          <w:tcPr>
            <w:tcBorders/>
            <w:tcW w:w="1717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Часть обозначения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321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Значение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  <w:tc>
          <w:tcPr>
            <w:tcBorders/>
            <w:tcW w:w="4926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Источник присвоения</w:t>
            </w: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717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321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4926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717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ФЮРА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321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Код организации-разработчика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4926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Присваивается централизованно организации (предприятию)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</w:tbl>
    <w:tbl>
      <w:tblPr>
        <w:tblStyle w:val="803"/>
        <w:tblW w:w="0" w:type="auto"/>
        <w:tblBorders/>
        <w:tblLook w:val="04A0" w:firstRow="1" w:lastRow="0" w:firstColumn="1" w:lastColumn="0" w:noHBand="0" w:noVBand="1"/>
      </w:tblPr>
      <w:tblGrid>
        <w:gridCol w:w="1717"/>
        <w:gridCol w:w="3211"/>
        <w:gridCol w:w="4926"/>
      </w:tblGrid>
      <w:tr>
        <w:trPr/>
        <w:tc>
          <w:tcPr>
            <w:tcBorders/>
            <w:tcW w:w="1717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415431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321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Код классификационной характеристики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4926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Определяется по классификатору ОК 012-93 (Классификатор ЕСКД)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  <w:tr>
        <w:trPr/>
        <w:tc>
          <w:tcPr>
            <w:tcBorders/>
            <w:tcW w:w="1717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001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3211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Порядковый регистрационный номер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  <w:tc>
          <w:tcPr>
            <w:tcBorders/>
            <w:tcW w:w="4926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Присваивается организацией-разработчиком последовательно для каждого нового изделия в пределах одного классификационного кода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</w:r>
          </w:p>
        </w:tc>
      </w:tr>
    </w:tbl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Задание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3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4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Style w:val="807"/>
        <w:numPr>
          <w:ilvl w:val="0"/>
          <w:numId w:val="31"/>
        </w:numPr>
        <w:pBdr/>
        <w:spacing w:line="360" w:lineRule="auto"/>
        <w:ind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Является ли ОК нормативным документом?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Да, Общероссийский классификатор является нормативным документом по стандартизации, его применение обязательно в установленных законодательством случаях.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Style w:val="807"/>
        <w:numPr>
          <w:ilvl w:val="0"/>
          <w:numId w:val="31"/>
        </w:numPr>
        <w:pBdr/>
        <w:spacing w:line="360" w:lineRule="auto"/>
        <w:ind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Для чего нужны ОК?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Классификаторы необходимы дл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я систематизации и унификации информации, обеспечения ее автоматизированной обработки, сопоставимости данных в различных информационных системах, а также для однозначной идентификации объектов (например, видов экономической деятельности, продукции, услуг).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Style w:val="807"/>
        <w:numPr>
          <w:ilvl w:val="0"/>
          <w:numId w:val="31"/>
        </w:numPr>
        <w:pBdr/>
        <w:spacing w:line="360" w:lineRule="auto"/>
        <w:ind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Какой орган допускает ОК к использованию на территории РФ?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Федеральное агентство по техническому регулированию и метрологии (Росстандарт).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Style w:val="807"/>
        <w:numPr>
          <w:ilvl w:val="0"/>
          <w:numId w:val="31"/>
        </w:numPr>
        <w:pBdr/>
        <w:spacing w:line="360" w:lineRule="auto"/>
        <w:ind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Как взаимосвязаны ОК ЕСКД и ГОСТ 2.201?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Они неразрывно связаны: ОК ЕСКД предоставляет шестизначный классификационный код объекта, а ГОСТ 2.201 устанавливает правило, как этот код, вместе с кодом разработчика и порядковым номером, сформировать в единое полное обозначение изделия.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Style w:val="807"/>
        <w:numPr>
          <w:ilvl w:val="0"/>
          <w:numId w:val="31"/>
        </w:numPr>
        <w:pBdr/>
        <w:spacing w:line="360" w:lineRule="auto"/>
        <w:ind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Где следует искать присваиваемое числовое/буквенное обозначение каждой части?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Код организации-разработчика: получается организацией при регистрации.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Классификационная характеристика: находится в классификаторе ОК 012-93 (ЕСКД) путем анализа признаков изделия.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Порядковый номер: присваивается в отделе технической документации организации-разработчика.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/>
        <w:ind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br w:type="page" w:clear="all"/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Style w:val="785"/>
        <w:pBdr/>
        <w:spacing/>
        <w:ind/>
        <w:jc w:val="center"/>
        <w:rPr>
          <w:rFonts w:ascii="Times New Roman" w:hAnsi="Times New Roman" w:eastAsia="Times New Roman" w:cs="Times New Roman"/>
          <w:sz w:val="28"/>
          <w:szCs w:val="28"/>
        </w:rPr>
      </w:pPr>
      <w:r/>
      <w:bookmarkStart w:id="2" w:name="_Toc177070548"/>
      <w:r>
        <w:rPr>
          <w:rFonts w:ascii="Times New Roman" w:hAnsi="Times New Roman" w:eastAsia="Times New Roman" w:cs="Times New Roman"/>
          <w:sz w:val="28"/>
          <w:szCs w:val="28"/>
        </w:rPr>
        <w:t xml:space="preserve">Заключение</w:t>
      </w:r>
      <w:bookmarkEnd w:id="2"/>
      <w:r/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</w:r>
      <w:r>
        <w:rPr>
          <w:rFonts w:ascii="Times New Roman" w:hAnsi="Times New Roman" w:eastAsia="Times New Roman" w:cs="Times New Roman"/>
          <w:b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В ходе выполнения лабораторной работы были освоены принципы работы с Общероссийским классификатором изделий и конструкторских документов ОК 012-93 (Классификатор ЕСКД) и стандартом ГОСТ 2.201.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Для изделия «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Анализаторы радиоспектрометрические с измерением амплитуды СВЧ колебаний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» (вариант №4) была проведена процедура классификации. На основе его функциональных признаков был присвоен код классификационной характеристики 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41 5431</w:t>
      </w:r>
      <w:r>
        <w:rPr>
          <w:rFonts w:ascii="Times New Roman" w:hAnsi="Times New Roman" w:eastAsia="Times New Roman" w:cs="Times New Roman"/>
          <w:sz w:val="28"/>
          <w:szCs w:val="28"/>
        </w:rPr>
        <w:t xml:space="preserve">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p>
      <w:pPr>
        <w:pBdr/>
        <w:spacing w:line="360" w:lineRule="auto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Таким образом, цели лабораторной работы были достигнуты: получены практические навыки классификации и идентификации изделий, а также закреплены знания о роли и взаимосвязи ключевых стандартов в системе конструкторской документации.</w:t>
      </w:r>
      <w:r>
        <w:rPr>
          <w:rFonts w:ascii="Times New Roman" w:hAnsi="Times New Roman" w:eastAsia="Times New Roman" w:cs="Times New Roman"/>
          <w:sz w:val="28"/>
          <w:szCs w:val="28"/>
        </w:rPr>
      </w:r>
    </w:p>
    <w:sectPr>
      <w:footerReference w:type="default" r:id="rId9"/>
      <w:footnotePr/>
      <w:endnotePr/>
      <w:type w:val="nextPage"/>
      <w:pgSz w:h="16838" w:orient="portrait" w:w="11906"/>
      <w:pgMar w:top="1134" w:right="567" w:bottom="1134" w:left="1701" w:header="709" w:footer="709" w:gutter="0"/>
      <w:pgNumType w:start="1"/>
      <w:cols w:num="1" w:sep="0" w:space="720" w:equalWidth="1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/>
        <w:ind/>
        <w:rPr/>
      </w:pPr>
      <w:r>
        <w:separator/>
      </w:r>
      <w:r/>
    </w:p>
  </w:endnote>
  <w:endnote w:type="continuationSeparator" w:id="0">
    <w:p>
      <w:pPr>
        <w:pBdr/>
        <w:spacing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/>
  <w:font w:name="Wingdings">
    <w:panose1 w:val="05010000000000000000"/>
  </w:font>
  <w:font w:name="Courier New">
    <w:panose1 w:val="02070309020205020404"/>
  </w:font>
  <w:font w:name="Symbol">
    <w:panose1 w:val="05010000000000000000"/>
  </w:font>
  <w:font w:name="Georgia">
    <w:panose1 w:val="02040502050405020303"/>
  </w:font>
  <w:font w:name="Times New Roman">
    <w:panose1 w:val="02020603050405020304"/>
  </w:font>
  <w:font w:name="Tahoma">
    <w:panose1 w:val="020B0604030504040204"/>
  </w:font>
  <w:font w:name="Arial">
    <w:panose1 w:val="020B0604020202020204"/>
  </w:font>
  <w:font w:name="Calibri">
    <w:panose1 w:val="020F0502020204030204"/>
  </w:font>
  <w:font w:name="Cambria">
    <w:panose1 w:val="020408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sdt>
    <w:sdtPr>
      <w15:appearance w15:val="boundingBox"/>
      <w:id w:val="-1755974800"/>
      <w:rPr/>
    </w:sdtPr>
    <w:sdtContent>
      <w:p>
        <w:pPr>
          <w:pStyle w:val="816"/>
          <w:pBdr/>
          <w:spacing/>
          <w:ind/>
          <w:jc w:val="right"/>
          <w:rPr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 xml:space="preserve">7</w:t>
        </w:r>
        <w:r>
          <w:fldChar w:fldCharType="end"/>
        </w:r>
        <w:r/>
      </w:p>
    </w:sdtContent>
  </w:sdt>
  <w:p>
    <w:pPr>
      <w:pStyle w:val="816"/>
      <w:pBdr/>
      <w:spacing/>
      <w:ind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/>
        <w:ind/>
        <w:rPr/>
      </w:pPr>
      <w:r>
        <w:separator/>
      </w:r>
      <w:r/>
    </w:p>
  </w:footnote>
  <w:footnote w:type="continuationSeparator" w:id="0">
    <w:p>
      <w:pPr>
        <w:pBdr/>
        <w:spacing/>
        <w:ind/>
        <w:rPr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C230C"/>
    <w:lvl w:ilvl="0">
      <w:isLgl w:val="false"/>
      <w:lvlJc w:val="left"/>
      <w:lvlText w:val="%1."/>
      <w:numFmt w:val="decimal"/>
      <w:pPr>
        <w:pBdr/>
        <w:spacing/>
        <w:ind w:hanging="360" w:left="720"/>
      </w:pPr>
      <w:rPr>
        <w:rFonts w:ascii="Times New Roman" w:hAnsi="Times New Roman" w:cs="Times New Roman" w:eastAsiaTheme="minorHAnsi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1">
    <w:nsid w:val="040B5A4F"/>
    <w:lvl w:ilvl="0">
      <w:isLgl w:val="false"/>
      <w:lvlJc w:val="left"/>
      <w:lvlText w:val=""/>
      <w:numFmt w:val="bullet"/>
      <w:pPr>
        <w:pBdr/>
        <w:spacing/>
        <w:ind w:hanging="360" w:left="144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6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88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60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32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04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76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8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200"/>
      </w:pPr>
      <w:rPr>
        <w:rFonts w:hint="default" w:ascii="Wingdings" w:hAnsi="Wingdings"/>
      </w:rPr>
      <w:start w:val="1"/>
      <w:suff w:val="tab"/>
    </w:lvl>
  </w:abstractNum>
  <w:abstractNum w:abstractNumId="2">
    <w:nsid w:val="06465A1C"/>
    <w:lvl w:ilvl="0">
      <w:isLgl w:val="false"/>
      <w:lvlJc w:val="left"/>
      <w:lvlText w:val="%1."/>
      <w:numFmt w:val="decimal"/>
      <w:pPr>
        <w:pBdr/>
        <w:spacing/>
        <w:ind w:hanging="360" w:left="720"/>
      </w:pPr>
      <w:rPr>
        <w:rFonts w:hint="default"/>
      </w:rPr>
      <w:start w:val="1"/>
      <w:suff w:val="tab"/>
    </w:lvl>
    <w:lvl w:ilvl="1">
      <w:isLgl w:val="true"/>
      <w:lvlJc w:val="left"/>
      <w:lvlText w:val="%1.%2"/>
      <w:numFmt w:val="decimal"/>
      <w:pPr>
        <w:pBdr/>
        <w:spacing/>
        <w:ind w:hanging="450" w:left="810"/>
      </w:pPr>
      <w:rPr>
        <w:rFonts w:hint="default"/>
      </w:rPr>
      <w:start w:val="1"/>
      <w:suff w:val="tab"/>
    </w:lvl>
    <w:lvl w:ilvl="2">
      <w:isLgl w:val="true"/>
      <w:lvlJc w:val="left"/>
      <w:lvlText w:val="%1.%2.%3"/>
      <w:numFmt w:val="decimal"/>
      <w:pPr>
        <w:pBdr/>
        <w:spacing/>
        <w:ind w:hanging="720" w:left="1080"/>
      </w:pPr>
      <w:rPr>
        <w:rFonts w:hint="default"/>
      </w:rPr>
      <w:start w:val="1"/>
      <w:suff w:val="tab"/>
    </w:lvl>
    <w:lvl w:ilvl="3">
      <w:isLgl w:val="true"/>
      <w:lvlJc w:val="left"/>
      <w:lvlText w:val="%1.%2.%3.%4"/>
      <w:numFmt w:val="decimal"/>
      <w:pPr>
        <w:pBdr/>
        <w:spacing/>
        <w:ind w:hanging="1080" w:left="1440"/>
      </w:pPr>
      <w:rPr>
        <w:rFonts w:hint="default"/>
      </w:rPr>
      <w:start w:val="1"/>
      <w:suff w:val="tab"/>
    </w:lvl>
    <w:lvl w:ilvl="4">
      <w:isLgl w:val="true"/>
      <w:lvlJc w:val="left"/>
      <w:lvlText w:val="%1.%2.%3.%4.%5"/>
      <w:numFmt w:val="decimal"/>
      <w:pPr>
        <w:pBdr/>
        <w:spacing/>
        <w:ind w:hanging="1080" w:left="1440"/>
      </w:pPr>
      <w:rPr>
        <w:rFonts w:hint="default"/>
      </w:rPr>
      <w:start w:val="1"/>
      <w:suff w:val="tab"/>
    </w:lvl>
    <w:lvl w:ilvl="5">
      <w:isLgl w:val="true"/>
      <w:lvlJc w:val="left"/>
      <w:lvlText w:val="%1.%2.%3.%4.%5.%6"/>
      <w:numFmt w:val="decimal"/>
      <w:pPr>
        <w:pBdr/>
        <w:spacing/>
        <w:ind w:hanging="1440" w:left="1800"/>
      </w:pPr>
      <w:rPr>
        <w:rFonts w:hint="default"/>
      </w:rPr>
      <w:start w:val="1"/>
      <w:suff w:val="tab"/>
    </w:lvl>
    <w:lvl w:ilvl="6">
      <w:isLgl w:val="true"/>
      <w:lvlJc w:val="left"/>
      <w:lvlText w:val="%1.%2.%3.%4.%5.%6.%7"/>
      <w:numFmt w:val="decimal"/>
      <w:pPr>
        <w:pBdr/>
        <w:spacing/>
        <w:ind w:hanging="1440" w:left="1800"/>
      </w:pPr>
      <w:rPr>
        <w:rFonts w:hint="default"/>
      </w:rPr>
      <w:start w:val="1"/>
      <w:suff w:val="tab"/>
    </w:lvl>
    <w:lvl w:ilvl="7">
      <w:isLgl w:val="true"/>
      <w:lvlJc w:val="left"/>
      <w:lvlText w:val="%1.%2.%3.%4.%5.%6.%7.%8"/>
      <w:numFmt w:val="decimal"/>
      <w:pPr>
        <w:pBdr/>
        <w:spacing/>
        <w:ind w:hanging="1800" w:left="2160"/>
      </w:pPr>
      <w:rPr>
        <w:rFonts w:hint="default"/>
      </w:rPr>
      <w:start w:val="1"/>
      <w:suff w:val="tab"/>
    </w:lvl>
    <w:lvl w:ilvl="8">
      <w:isLgl w:val="true"/>
      <w:lvlJc w:val="left"/>
      <w:lvlText w:val="%1.%2.%3.%4.%5.%6.%7.%8.%9"/>
      <w:numFmt w:val="decimal"/>
      <w:pPr>
        <w:pBdr/>
        <w:spacing/>
        <w:ind w:hanging="2160" w:left="2520"/>
      </w:pPr>
      <w:rPr>
        <w:rFonts w:hint="default"/>
      </w:rPr>
      <w:start w:val="1"/>
      <w:suff w:val="tab"/>
    </w:lvl>
  </w:abstractNum>
  <w:abstractNum w:abstractNumId="3">
    <w:nsid w:val="083E55DC"/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abstractNum w:abstractNumId="4">
    <w:nsid w:val="0A660DBF"/>
    <w:lvl w:ilvl="0">
      <w:isLgl w:val="false"/>
      <w:lvlJc w:val="left"/>
      <w:lvlText w:val="%1."/>
      <w:numFmt w:val="decimal"/>
      <w:pPr>
        <w:pBdr/>
        <w:spacing/>
        <w:ind w:hanging="360" w:left="720"/>
      </w:pPr>
      <w:rPr>
        <w:rFonts w:hint="default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5">
    <w:nsid w:val="0B0151B4"/>
    <w:lvl w:ilvl="0">
      <w:isLgl w:val="false"/>
      <w:lvlJc w:val="left"/>
      <w:lvlText w:val="%1"/>
      <w:numFmt w:val="decimal"/>
      <w:pPr>
        <w:pBdr/>
        <w:spacing/>
        <w:ind w:hanging="360" w:left="1440"/>
      </w:pPr>
      <w:rPr>
        <w:rFonts w:ascii="Times New Roman" w:hAnsi="Times New Roman" w:eastAsia="Times New Roman" w:cs="Times New Roman"/>
      </w:rPr>
      <w:start w:val="1"/>
      <w:suff w:val="tab"/>
    </w:lvl>
    <w:lvl w:ilvl="1">
      <w:isLgl w:val="true"/>
      <w:lvlJc w:val="left"/>
      <w:lvlText w:val="%1.%2"/>
      <w:numFmt w:val="decimal"/>
      <w:pPr>
        <w:pBdr/>
        <w:spacing/>
        <w:ind w:hanging="450" w:left="1530"/>
      </w:pPr>
      <w:rPr>
        <w:rFonts w:hint="default"/>
      </w:rPr>
      <w:start w:val="1"/>
      <w:suff w:val="tab"/>
    </w:lvl>
    <w:lvl w:ilvl="2">
      <w:isLgl w:val="true"/>
      <w:lvlJc w:val="left"/>
      <w:lvlText w:val="%1.%2.%3"/>
      <w:numFmt w:val="decimal"/>
      <w:pPr>
        <w:pBdr/>
        <w:spacing/>
        <w:ind w:hanging="720" w:left="1800"/>
      </w:pPr>
      <w:rPr>
        <w:rFonts w:hint="default"/>
      </w:rPr>
      <w:start w:val="1"/>
      <w:suff w:val="tab"/>
    </w:lvl>
    <w:lvl w:ilvl="3">
      <w:isLgl w:val="true"/>
      <w:lvlJc w:val="left"/>
      <w:lvlText w:val="%1.%2.%3.%4"/>
      <w:numFmt w:val="decimal"/>
      <w:pPr>
        <w:pBdr/>
        <w:spacing/>
        <w:ind w:hanging="1080" w:left="2160"/>
      </w:pPr>
      <w:rPr>
        <w:rFonts w:hint="default"/>
      </w:rPr>
      <w:start w:val="1"/>
      <w:suff w:val="tab"/>
    </w:lvl>
    <w:lvl w:ilvl="4">
      <w:isLgl w:val="true"/>
      <w:lvlJc w:val="left"/>
      <w:lvlText w:val="%1.%2.%3.%4.%5"/>
      <w:numFmt w:val="decimal"/>
      <w:pPr>
        <w:pBdr/>
        <w:spacing/>
        <w:ind w:hanging="1080" w:left="2160"/>
      </w:pPr>
      <w:rPr>
        <w:rFonts w:hint="default"/>
      </w:rPr>
      <w:start w:val="1"/>
      <w:suff w:val="tab"/>
    </w:lvl>
    <w:lvl w:ilvl="5">
      <w:isLgl w:val="true"/>
      <w:lvlJc w:val="left"/>
      <w:lvlText w:val="%1.%2.%3.%4.%5.%6"/>
      <w:numFmt w:val="decimal"/>
      <w:pPr>
        <w:pBdr/>
        <w:spacing/>
        <w:ind w:hanging="1440" w:left="2520"/>
      </w:pPr>
      <w:rPr>
        <w:rFonts w:hint="default"/>
      </w:rPr>
      <w:start w:val="1"/>
      <w:suff w:val="tab"/>
    </w:lvl>
    <w:lvl w:ilvl="6">
      <w:isLgl w:val="true"/>
      <w:lvlJc w:val="left"/>
      <w:lvlText w:val="%1.%2.%3.%4.%5.%6.%7"/>
      <w:numFmt w:val="decimal"/>
      <w:pPr>
        <w:pBdr/>
        <w:spacing/>
        <w:ind w:hanging="1440" w:left="2520"/>
      </w:pPr>
      <w:rPr>
        <w:rFonts w:hint="default"/>
      </w:rPr>
      <w:start w:val="1"/>
      <w:suff w:val="tab"/>
    </w:lvl>
    <w:lvl w:ilvl="7">
      <w:isLgl w:val="true"/>
      <w:lvlJc w:val="left"/>
      <w:lvlText w:val="%1.%2.%3.%4.%5.%6.%7.%8"/>
      <w:numFmt w:val="decimal"/>
      <w:pPr>
        <w:pBdr/>
        <w:spacing/>
        <w:ind w:hanging="1800" w:left="2880"/>
      </w:pPr>
      <w:rPr>
        <w:rFonts w:hint="default"/>
      </w:rPr>
      <w:start w:val="1"/>
      <w:suff w:val="tab"/>
    </w:lvl>
    <w:lvl w:ilvl="8">
      <w:isLgl w:val="true"/>
      <w:lvlJc w:val="left"/>
      <w:lvlText w:val="%1.%2.%3.%4.%5.%6.%7.%8.%9"/>
      <w:numFmt w:val="decimal"/>
      <w:pPr>
        <w:pBdr/>
        <w:spacing/>
        <w:ind w:hanging="2160" w:left="3240"/>
      </w:pPr>
      <w:rPr>
        <w:rFonts w:hint="default"/>
      </w:rPr>
      <w:start w:val="1"/>
      <w:suff w:val="tab"/>
    </w:lvl>
  </w:abstractNum>
  <w:abstractNum w:abstractNumId="6">
    <w:nsid w:val="1970125F"/>
    <w:lvl w:ilvl="0">
      <w:isLgl w:val="false"/>
      <w:lvlJc w:val="left"/>
      <w:lvlText w:val="●"/>
      <w:numFmt w:val="bullet"/>
      <w:pPr>
        <w:pBdr/>
        <w:spacing/>
        <w:ind w:hanging="360" w:left="72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ascii="Courier New" w:hAnsi="Courier New" w:eastAsia="Courier New" w:cs="Courier New"/>
        <w:sz w:val="20"/>
        <w:szCs w:val="20"/>
      </w:rPr>
      <w:start w:val="1"/>
      <w:suff w:val="tab"/>
    </w:lvl>
    <w:lvl w:ilvl="2">
      <w:isLgl w:val="false"/>
      <w:lvlJc w:val="left"/>
      <w:lvlText w:val="▪"/>
      <w:numFmt w:val="bullet"/>
      <w:pPr>
        <w:pBdr/>
        <w:spacing/>
        <w:ind w:hanging="360" w:left="216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  <w:lvl w:ilvl="3">
      <w:isLgl w:val="false"/>
      <w:lvlJc w:val="left"/>
      <w:lvlText w:val="▪"/>
      <w:numFmt w:val="bullet"/>
      <w:pPr>
        <w:pBdr/>
        <w:spacing/>
        <w:ind w:hanging="360" w:left="288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  <w:lvl w:ilvl="4">
      <w:isLgl w:val="false"/>
      <w:lvlJc w:val="left"/>
      <w:lvlText w:val="▪"/>
      <w:numFmt w:val="bullet"/>
      <w:pPr>
        <w:pBdr/>
        <w:spacing/>
        <w:ind w:hanging="360" w:left="360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  <w:lvl w:ilvl="5">
      <w:isLgl w:val="false"/>
      <w:lvlJc w:val="left"/>
      <w:lvlText w:val="▪"/>
      <w:numFmt w:val="bullet"/>
      <w:pPr>
        <w:pBdr/>
        <w:spacing/>
        <w:ind w:hanging="360" w:left="432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  <w:lvl w:ilvl="6">
      <w:isLgl w:val="false"/>
      <w:lvlJc w:val="left"/>
      <w:lvlText w:val="▪"/>
      <w:numFmt w:val="bullet"/>
      <w:pPr>
        <w:pBdr/>
        <w:spacing/>
        <w:ind w:hanging="360" w:left="504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  <w:lvl w:ilvl="7">
      <w:isLgl w:val="false"/>
      <w:lvlJc w:val="left"/>
      <w:lvlText w:val="▪"/>
      <w:numFmt w:val="bullet"/>
      <w:pPr>
        <w:pBdr/>
        <w:spacing/>
        <w:ind w:hanging="360" w:left="576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  <w:lvl w:ilvl="8">
      <w:isLgl w:val="false"/>
      <w:lvlJc w:val="left"/>
      <w:lvlText w:val="▪"/>
      <w:numFmt w:val="bullet"/>
      <w:pPr>
        <w:pBdr/>
        <w:spacing/>
        <w:ind w:hanging="360" w:left="6480"/>
      </w:pPr>
      <w:rPr>
        <w:rFonts w:ascii="Noto Sans Symbols" w:hAnsi="Noto Sans Symbols" w:eastAsia="Noto Sans Symbols" w:cs="Noto Sans Symbols"/>
        <w:sz w:val="20"/>
        <w:szCs w:val="20"/>
      </w:rPr>
      <w:start w:val="1"/>
      <w:suff w:val="tab"/>
    </w:lvl>
  </w:abstractNum>
  <w:abstractNum w:abstractNumId="7">
    <w:nsid w:val="19C549B0"/>
    <w:lvl w:ilvl="0">
      <w:isLgl w:val="false"/>
      <w:lvlJc w:val="left"/>
      <w:lvlText w:val="%1."/>
      <w:numFmt w:val="decimal"/>
      <w:pPr>
        <w:pBdr/>
        <w:spacing/>
        <w:ind w:hanging="360" w:left="1080"/>
      </w:pPr>
      <w:rPr>
        <w:rFonts w:hint="default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80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52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24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96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68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40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12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840"/>
      </w:pPr>
      <w:rPr/>
      <w:start w:val="1"/>
      <w:suff w:val="tab"/>
    </w:lvl>
  </w:abstractNum>
  <w:abstractNum w:abstractNumId="8">
    <w:nsid w:val="1D895069"/>
    <w:lvl w:ilvl="0">
      <w:isLgl w:val="false"/>
      <w:lvlJc w:val="left"/>
      <w:lvlText w:val=""/>
      <w:numFmt w:val="bullet"/>
      <w:pPr>
        <w:pBdr/>
        <w:tabs>
          <w:tab w:val="num" w:leader="none" w:pos="720"/>
        </w:tabs>
        <w:spacing/>
        <w:ind w:hanging="360" w:left="720"/>
      </w:pPr>
      <w:rPr>
        <w:rFonts w:hint="default" w:ascii="Symbol" w:hAnsi="Symbol"/>
        <w:sz w:val="20"/>
      </w:rPr>
      <w:start w:val="1"/>
      <w:suff w:val="tab"/>
    </w:lvl>
    <w:lvl w:ilvl="1">
      <w:isLgl w:val="false"/>
      <w:lvlJc w:val="left"/>
      <w:lvlText w:val="%2."/>
      <w:numFmt w:val="decimal"/>
      <w:pPr>
        <w:pBdr/>
        <w:spacing/>
        <w:ind w:hanging="360" w:left="1440"/>
      </w:pPr>
      <w:rPr>
        <w:rFonts w:hint="default"/>
      </w:rPr>
      <w:start w:val="1"/>
      <w:suff w:val="tab"/>
    </w:lvl>
    <w:lvl w:ilvl="2">
      <w:isLgl w:val="false"/>
      <w:lvlJc w:val="left"/>
      <w:lvlText w:val=""/>
      <w:numFmt w:val="bullet"/>
      <w:pPr>
        <w:pBdr/>
        <w:tabs>
          <w:tab w:val="num" w:leader="none" w:pos="2160"/>
        </w:tabs>
        <w:spacing/>
        <w:ind w:hanging="360" w:left="2160"/>
      </w:pPr>
      <w:rPr>
        <w:rFonts w:hint="default" w:ascii="Wingdings" w:hAnsi="Wingdings"/>
        <w:sz w:val="20"/>
      </w:rPr>
      <w:start w:val="1"/>
      <w:suff w:val="tab"/>
    </w:lvl>
    <w:lvl w:ilvl="3">
      <w:isLgl w:val="false"/>
      <w:lvlJc w:val="left"/>
      <w:lvlText w:val=""/>
      <w:numFmt w:val="bullet"/>
      <w:pPr>
        <w:pBdr/>
        <w:tabs>
          <w:tab w:val="num" w:leader="none" w:pos="2880"/>
        </w:tabs>
        <w:spacing/>
        <w:ind w:hanging="360" w:left="2880"/>
      </w:pPr>
      <w:rPr>
        <w:rFonts w:hint="default" w:ascii="Wingdings" w:hAnsi="Wingdings"/>
        <w:sz w:val="20"/>
      </w:rPr>
      <w:start w:val="1"/>
      <w:suff w:val="tab"/>
    </w:lvl>
    <w:lvl w:ilvl="4">
      <w:isLgl w:val="false"/>
      <w:lvlJc w:val="left"/>
      <w:lvlText w:val=""/>
      <w:numFmt w:val="bullet"/>
      <w:pPr>
        <w:pBdr/>
        <w:tabs>
          <w:tab w:val="num" w:leader="none" w:pos="3600"/>
        </w:tabs>
        <w:spacing/>
        <w:ind w:hanging="360" w:left="3600"/>
      </w:pPr>
      <w:rPr>
        <w:rFonts w:hint="default" w:ascii="Wingdings" w:hAnsi="Wingdings"/>
        <w:sz w:val="20"/>
      </w:rPr>
      <w:start w:val="1"/>
      <w:suff w:val="tab"/>
    </w:lvl>
    <w:lvl w:ilvl="5">
      <w:isLgl w:val="false"/>
      <w:lvlJc w:val="left"/>
      <w:lvlText w:val=""/>
      <w:numFmt w:val="bullet"/>
      <w:pPr>
        <w:pBdr/>
        <w:tabs>
          <w:tab w:val="num" w:leader="none" w:pos="4320"/>
        </w:tabs>
        <w:spacing/>
        <w:ind w:hanging="360" w:left="4320"/>
      </w:pPr>
      <w:rPr>
        <w:rFonts w:hint="default" w:ascii="Wingdings" w:hAnsi="Wingdings"/>
        <w:sz w:val="20"/>
      </w:rPr>
      <w:start w:val="1"/>
      <w:suff w:val="tab"/>
    </w:lvl>
    <w:lvl w:ilvl="6">
      <w:isLgl w:val="false"/>
      <w:lvlJc w:val="left"/>
      <w:lvlText w:val=""/>
      <w:numFmt w:val="bullet"/>
      <w:pPr>
        <w:pBdr/>
        <w:tabs>
          <w:tab w:val="num" w:leader="none" w:pos="5040"/>
        </w:tabs>
        <w:spacing/>
        <w:ind w:hanging="360" w:left="5040"/>
      </w:pPr>
      <w:rPr>
        <w:rFonts w:hint="default" w:ascii="Wingdings" w:hAnsi="Wingdings"/>
        <w:sz w:val="20"/>
      </w:rPr>
      <w:start w:val="1"/>
      <w:suff w:val="tab"/>
    </w:lvl>
    <w:lvl w:ilvl="7">
      <w:isLgl w:val="false"/>
      <w:lvlJc w:val="left"/>
      <w:lvlText w:val=""/>
      <w:numFmt w:val="bullet"/>
      <w:pPr>
        <w:pBdr/>
        <w:tabs>
          <w:tab w:val="num" w:leader="none" w:pos="5760"/>
        </w:tabs>
        <w:spacing/>
        <w:ind w:hanging="360" w:left="5760"/>
      </w:pPr>
      <w:rPr>
        <w:rFonts w:hint="default" w:ascii="Wingdings" w:hAnsi="Wingdings"/>
        <w:sz w:val="20"/>
      </w:rPr>
      <w:start w:val="1"/>
      <w:suff w:val="tab"/>
    </w:lvl>
    <w:lvl w:ilvl="8">
      <w:isLgl w:val="false"/>
      <w:lvlJc w:val="left"/>
      <w:lvlText w:val=""/>
      <w:numFmt w:val="bullet"/>
      <w:pPr>
        <w:pBdr/>
        <w:tabs>
          <w:tab w:val="num" w:leader="none" w:pos="6480"/>
        </w:tabs>
        <w:spacing/>
        <w:ind w:hanging="360" w:left="6480"/>
      </w:pPr>
      <w:rPr>
        <w:rFonts w:hint="default" w:ascii="Wingdings" w:hAnsi="Wingdings"/>
        <w:sz w:val="20"/>
      </w:rPr>
      <w:start w:val="1"/>
      <w:suff w:val="tab"/>
    </w:lvl>
  </w:abstractNum>
  <w:abstractNum w:abstractNumId="9">
    <w:nsid w:val="23CC08F0"/>
    <w:lvl w:ilvl="0">
      <w:isLgl w:val="false"/>
      <w:lvlJc w:val="left"/>
      <w:lvlText w:val="●"/>
      <w:numFmt w:val="bullet"/>
      <w:pPr>
        <w:pBdr/>
        <w:spacing/>
        <w:ind w:hanging="360" w:left="1440"/>
      </w:pPr>
      <w:rPr>
        <w:u w:val="none"/>
      </w:rPr>
      <w:start w:val="1"/>
      <w:suff w:val="tab"/>
    </w:lvl>
    <w:lvl w:ilvl="1">
      <w:isLgl w:val="false"/>
      <w:lvlJc w:val="left"/>
      <w:lvlText w:val="○"/>
      <w:numFmt w:val="bullet"/>
      <w:pPr>
        <w:pBdr/>
        <w:spacing/>
        <w:ind w:hanging="360" w:left="2160"/>
      </w:pPr>
      <w:rPr>
        <w:u w:val="none"/>
      </w:rPr>
      <w:start w:val="1"/>
      <w:suff w:val="tab"/>
    </w:lvl>
    <w:lvl w:ilvl="2">
      <w:isLgl w:val="false"/>
      <w:lvlJc w:val="left"/>
      <w:lvlText w:val="■"/>
      <w:numFmt w:val="bullet"/>
      <w:pPr>
        <w:pBdr/>
        <w:spacing/>
        <w:ind w:hanging="360" w:left="2880"/>
      </w:pPr>
      <w:rPr>
        <w:u w:val="none"/>
      </w:rPr>
      <w:start w:val="1"/>
      <w:suff w:val="tab"/>
    </w:lvl>
    <w:lvl w:ilvl="3">
      <w:isLgl w:val="false"/>
      <w:lvlJc w:val="left"/>
      <w:lvlText w:val="●"/>
      <w:numFmt w:val="bullet"/>
      <w:pPr>
        <w:pBdr/>
        <w:spacing/>
        <w:ind w:hanging="360" w:left="3600"/>
      </w:pPr>
      <w:rPr>
        <w:u w:val="none"/>
      </w:rPr>
      <w:start w:val="1"/>
      <w:suff w:val="tab"/>
    </w:lvl>
    <w:lvl w:ilvl="4">
      <w:isLgl w:val="false"/>
      <w:lvlJc w:val="left"/>
      <w:lvlText w:val="○"/>
      <w:numFmt w:val="bullet"/>
      <w:pPr>
        <w:pBdr/>
        <w:spacing/>
        <w:ind w:hanging="360" w:left="4320"/>
      </w:pPr>
      <w:rPr>
        <w:u w:val="none"/>
      </w:rPr>
      <w:start w:val="1"/>
      <w:suff w:val="tab"/>
    </w:lvl>
    <w:lvl w:ilvl="5">
      <w:isLgl w:val="false"/>
      <w:lvlJc w:val="left"/>
      <w:lvlText w:val="■"/>
      <w:numFmt w:val="bullet"/>
      <w:pPr>
        <w:pBdr/>
        <w:spacing/>
        <w:ind w:hanging="360" w:left="5040"/>
      </w:pPr>
      <w:rPr>
        <w:u w:val="none"/>
      </w:rPr>
      <w:start w:val="1"/>
      <w:suff w:val="tab"/>
    </w:lvl>
    <w:lvl w:ilvl="6">
      <w:isLgl w:val="false"/>
      <w:lvlJc w:val="left"/>
      <w:lvlText w:val="●"/>
      <w:numFmt w:val="bullet"/>
      <w:pPr>
        <w:pBdr/>
        <w:spacing/>
        <w:ind w:hanging="360" w:left="5760"/>
      </w:pPr>
      <w:rPr>
        <w:u w:val="none"/>
      </w:rPr>
      <w:start w:val="1"/>
      <w:suff w:val="tab"/>
    </w:lvl>
    <w:lvl w:ilvl="7">
      <w:isLgl w:val="false"/>
      <w:lvlJc w:val="left"/>
      <w:lvlText w:val="○"/>
      <w:numFmt w:val="bullet"/>
      <w:pPr>
        <w:pBdr/>
        <w:spacing/>
        <w:ind w:hanging="360" w:left="6480"/>
      </w:pPr>
      <w:rPr>
        <w:u w:val="none"/>
      </w:rPr>
      <w:start w:val="1"/>
      <w:suff w:val="tab"/>
    </w:lvl>
    <w:lvl w:ilvl="8">
      <w:isLgl w:val="false"/>
      <w:lvlJc w:val="left"/>
      <w:lvlText w:val="■"/>
      <w:numFmt w:val="bullet"/>
      <w:pPr>
        <w:pBdr/>
        <w:spacing/>
        <w:ind w:hanging="360" w:left="7200"/>
      </w:pPr>
      <w:rPr>
        <w:u w:val="none"/>
      </w:rPr>
      <w:start w:val="1"/>
      <w:suff w:val="tab"/>
    </w:lvl>
  </w:abstractNum>
  <w:abstractNum w:abstractNumId="10">
    <w:nsid w:val="261C3B5C"/>
    <w:lvl w:ilvl="0">
      <w:isLgl w:val="false"/>
      <w:lvlJc w:val="left"/>
      <w:lvlText w:val=""/>
      <w:numFmt w:val="bullet"/>
      <w:pPr>
        <w:pBdr/>
        <w:spacing/>
        <w:ind w:hanging="360" w:left="144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6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88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60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32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04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76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8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200"/>
      </w:pPr>
      <w:rPr>
        <w:rFonts w:hint="default" w:ascii="Wingdings" w:hAnsi="Wingdings"/>
      </w:rPr>
      <w:start w:val="1"/>
      <w:suff w:val="tab"/>
    </w:lvl>
  </w:abstractNum>
  <w:abstractNum w:abstractNumId="11">
    <w:nsid w:val="262478D5"/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abstractNum w:abstractNumId="12">
    <w:nsid w:val="266C293C"/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abstractNum w:abstractNumId="13">
    <w:nsid w:val="321D3D92"/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abstractNum w:abstractNumId="14">
    <w:nsid w:val="3576285C"/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abstractNum w:abstractNumId="15">
    <w:nsid w:val="361E5CD3"/>
    <w:lvl w:ilvl="0">
      <w:isLgl w:val="false"/>
      <w:lvlJc w:val="left"/>
      <w:lvlText w:val=""/>
      <w:numFmt w:val="bullet"/>
      <w:pPr>
        <w:pBdr/>
        <w:spacing/>
        <w:ind w:hanging="360" w:left="144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6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88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60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32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04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76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8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200"/>
      </w:pPr>
      <w:rPr>
        <w:rFonts w:hint="default" w:ascii="Wingdings" w:hAnsi="Wingdings"/>
      </w:rPr>
      <w:start w:val="1"/>
      <w:suff w:val="tab"/>
    </w:lvl>
  </w:abstractNum>
  <w:abstractNum w:abstractNumId="16">
    <w:nsid w:val="36231486"/>
    <w:lvl w:ilvl="0">
      <w:isLgl w:val="false"/>
      <w:lvlJc w:val="left"/>
      <w:lvlText w:val="%1."/>
      <w:numFmt w:val="decimal"/>
      <w:pPr>
        <w:pBdr/>
        <w:spacing/>
        <w:ind w:hanging="360" w:left="1080"/>
      </w:pPr>
      <w:rPr>
        <w:rFonts w:hint="default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80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52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24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96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68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40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12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840"/>
      </w:pPr>
      <w:rPr/>
      <w:start w:val="1"/>
      <w:suff w:val="tab"/>
    </w:lvl>
  </w:abstractNum>
  <w:abstractNum w:abstractNumId="17">
    <w:nsid w:val="3D0D67F6"/>
    <w:lvl w:ilvl="0">
      <w:isLgl w:val="false"/>
      <w:lvlJc w:val="left"/>
      <w:lvlText w:val="%1."/>
      <w:numFmt w:val="decimal"/>
      <w:pPr>
        <w:pBdr/>
        <w:tabs>
          <w:tab w:val="num" w:leader="none" w:pos="1080"/>
        </w:tabs>
        <w:spacing/>
        <w:ind w:hanging="360" w:left="1080"/>
      </w:pPr>
      <w:rPr/>
      <w:start w:val="1"/>
      <w:suff w:val="tab"/>
    </w:lvl>
    <w:lvl w:ilvl="1">
      <w:isLgl w:val="false"/>
      <w:lvlJc w:val="left"/>
      <w:lvlText w:val="%2."/>
      <w:numFmt w:val="decimal"/>
      <w:pPr>
        <w:pBdr/>
        <w:tabs>
          <w:tab w:val="num" w:leader="none" w:pos="1800"/>
        </w:tabs>
        <w:spacing/>
        <w:ind w:hanging="360" w:left="1800"/>
      </w:pPr>
      <w:rPr/>
      <w:start w:val="1"/>
      <w:suff w:val="tab"/>
    </w:lvl>
    <w:lvl w:ilvl="2">
      <w:isLgl w:val="false"/>
      <w:lvlJc w:val="left"/>
      <w:lvlText w:val="%3."/>
      <w:numFmt w:val="decimal"/>
      <w:pPr>
        <w:pBdr/>
        <w:tabs>
          <w:tab w:val="num" w:leader="none" w:pos="2520"/>
        </w:tabs>
        <w:spacing/>
        <w:ind w:hanging="360" w:left="252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3240"/>
        </w:tabs>
        <w:spacing/>
        <w:ind w:hanging="360" w:left="3240"/>
      </w:pPr>
      <w:rPr/>
      <w:start w:val="1"/>
      <w:suff w:val="tab"/>
    </w:lvl>
    <w:lvl w:ilvl="4">
      <w:isLgl w:val="false"/>
      <w:lvlJc w:val="left"/>
      <w:lvlText w:val="%5."/>
      <w:numFmt w:val="decimal"/>
      <w:pPr>
        <w:pBdr/>
        <w:tabs>
          <w:tab w:val="num" w:leader="none" w:pos="3960"/>
        </w:tabs>
        <w:spacing/>
        <w:ind w:hanging="360" w:left="3960"/>
      </w:pPr>
      <w:rPr/>
      <w:start w:val="1"/>
      <w:suff w:val="tab"/>
    </w:lvl>
    <w:lvl w:ilvl="5">
      <w:isLgl w:val="false"/>
      <w:lvlJc w:val="left"/>
      <w:lvlText w:val="%6."/>
      <w:numFmt w:val="decimal"/>
      <w:pPr>
        <w:pBdr/>
        <w:tabs>
          <w:tab w:val="num" w:leader="none" w:pos="4680"/>
        </w:tabs>
        <w:spacing/>
        <w:ind w:hanging="360" w:left="468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400"/>
        </w:tabs>
        <w:spacing/>
        <w:ind w:hanging="360" w:left="5400"/>
      </w:pPr>
      <w:rPr/>
      <w:start w:val="1"/>
      <w:suff w:val="tab"/>
    </w:lvl>
    <w:lvl w:ilvl="7">
      <w:isLgl w:val="false"/>
      <w:lvlJc w:val="left"/>
      <w:lvlText w:val="%8."/>
      <w:numFmt w:val="decimal"/>
      <w:pPr>
        <w:pBdr/>
        <w:tabs>
          <w:tab w:val="num" w:leader="none" w:pos="6120"/>
        </w:tabs>
        <w:spacing/>
        <w:ind w:hanging="360" w:left="6120"/>
      </w:pPr>
      <w:rPr/>
      <w:start w:val="1"/>
      <w:suff w:val="tab"/>
    </w:lvl>
    <w:lvl w:ilvl="8">
      <w:isLgl w:val="false"/>
      <w:lvlJc w:val="left"/>
      <w:lvlText w:val="%9."/>
      <w:numFmt w:val="decimal"/>
      <w:pPr>
        <w:pBdr/>
        <w:tabs>
          <w:tab w:val="num" w:leader="none" w:pos="6840"/>
        </w:tabs>
        <w:spacing/>
        <w:ind w:hanging="360" w:left="6840"/>
      </w:pPr>
      <w:rPr/>
      <w:start w:val="1"/>
      <w:suff w:val="tab"/>
    </w:lvl>
  </w:abstractNum>
  <w:abstractNum w:abstractNumId="18">
    <w:nsid w:val="425F69D8"/>
    <w:lvl w:ilvl="0">
      <w:isLgl w:val="false"/>
      <w:lvlJc w:val="left"/>
      <w:lvlText w:val="%1."/>
      <w:numFmt w:val="decimal"/>
      <w:pPr>
        <w:pBdr/>
        <w:spacing/>
        <w:ind w:hanging="360" w:left="720"/>
      </w:pPr>
      <w:rPr>
        <w:u w:val="none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>
        <w:u w:val="none"/>
      </w:rPr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360" w:left="2160"/>
      </w:pPr>
      <w:rPr>
        <w:u w:val="none"/>
      </w:rPr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>
        <w:u w:val="none"/>
      </w:rPr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>
        <w:u w:val="none"/>
      </w:rPr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360" w:left="4320"/>
      </w:pPr>
      <w:rPr>
        <w:u w:val="none"/>
      </w:rPr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>
        <w:u w:val="none"/>
      </w:rPr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>
        <w:u w:val="none"/>
      </w:rPr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360" w:left="6480"/>
      </w:pPr>
      <w:rPr>
        <w:u w:val="none"/>
      </w:rPr>
      <w:start w:val="1"/>
      <w:suff w:val="tab"/>
    </w:lvl>
  </w:abstractNum>
  <w:abstractNum w:abstractNumId="19">
    <w:nsid w:val="44BA544E"/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20">
    <w:nsid w:val="48482DB4"/>
    <w:lvl w:ilvl="0">
      <w:isLgl w:val="false"/>
      <w:lvlJc w:val="left"/>
      <w:lvlText w:val="%1."/>
      <w:numFmt w:val="decimal"/>
      <w:pPr>
        <w:pBdr/>
        <w:spacing/>
        <w:ind w:hanging="360" w:left="720"/>
      </w:pPr>
      <w:rPr>
        <w:rFonts w:hint="default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21">
    <w:nsid w:val="4EC64242"/>
    <w:lvl w:ilvl="0">
      <w:isLgl w:val="false"/>
      <w:lvlJc w:val="left"/>
      <w:lvlText w:val="%1"/>
      <w:numFmt w:val="decimal"/>
      <w:pPr>
        <w:pBdr/>
        <w:spacing/>
        <w:ind w:hanging="375" w:left="375"/>
      </w:pPr>
      <w:rPr>
        <w:rFonts w:hint="default"/>
      </w:rPr>
      <w:start w:val="1"/>
      <w:suff w:val="tab"/>
    </w:lvl>
    <w:lvl w:ilvl="1">
      <w:isLgl w:val="false"/>
      <w:lvlJc w:val="left"/>
      <w:lvlText w:val="%1.%2"/>
      <w:numFmt w:val="decimal"/>
      <w:pPr>
        <w:pBdr/>
        <w:spacing/>
        <w:ind w:hanging="375" w:left="1455"/>
      </w:pPr>
      <w:rPr>
        <w:rFonts w:hint="default"/>
      </w:rPr>
      <w:start w:val="3"/>
      <w:suff w:val="tab"/>
    </w:lvl>
    <w:lvl w:ilvl="2">
      <w:isLgl w:val="false"/>
      <w:lvlJc w:val="left"/>
      <w:lvlText w:val="%1.%2.%3"/>
      <w:numFmt w:val="decimal"/>
      <w:pPr>
        <w:pBdr/>
        <w:spacing/>
        <w:ind w:hanging="720" w:left="2880"/>
      </w:pPr>
      <w:rPr>
        <w:rFonts w:hint="default"/>
      </w:rPr>
      <w:start w:val="1"/>
      <w:suff w:val="tab"/>
    </w:lvl>
    <w:lvl w:ilvl="3">
      <w:isLgl w:val="false"/>
      <w:lvlJc w:val="left"/>
      <w:lvlText w:val="%1.%2.%3.%4"/>
      <w:numFmt w:val="decimal"/>
      <w:pPr>
        <w:pBdr/>
        <w:spacing/>
        <w:ind w:hanging="1080" w:left="4320"/>
      </w:pPr>
      <w:rPr>
        <w:rFonts w:hint="default"/>
      </w:rPr>
      <w:start w:val="1"/>
      <w:suff w:val="tab"/>
    </w:lvl>
    <w:lvl w:ilvl="4">
      <w:isLgl w:val="false"/>
      <w:lvlJc w:val="left"/>
      <w:lvlText w:val="%1.%2.%3.%4.%5"/>
      <w:numFmt w:val="decimal"/>
      <w:pPr>
        <w:pBdr/>
        <w:spacing/>
        <w:ind w:hanging="1080" w:left="5400"/>
      </w:pPr>
      <w:rPr>
        <w:rFonts w:hint="default"/>
      </w:rPr>
      <w:start w:val="1"/>
      <w:suff w:val="tab"/>
    </w:lvl>
    <w:lvl w:ilvl="5">
      <w:isLgl w:val="false"/>
      <w:lvlJc w:val="left"/>
      <w:lvlText w:val="%1.%2.%3.%4.%5.%6"/>
      <w:numFmt w:val="decimal"/>
      <w:pPr>
        <w:pBdr/>
        <w:spacing/>
        <w:ind w:hanging="1440" w:left="6840"/>
      </w:pPr>
      <w:rPr>
        <w:rFonts w:hint="default"/>
      </w:rPr>
      <w:start w:val="1"/>
      <w:suff w:val="tab"/>
    </w:lvl>
    <w:lvl w:ilvl="6">
      <w:isLgl w:val="false"/>
      <w:lvlJc w:val="left"/>
      <w:lvlText w:val="%1.%2.%3.%4.%5.%6.%7"/>
      <w:numFmt w:val="decimal"/>
      <w:pPr>
        <w:pBdr/>
        <w:spacing/>
        <w:ind w:hanging="1440" w:left="7920"/>
      </w:pPr>
      <w:rPr>
        <w:rFonts w:hint="default"/>
      </w:rPr>
      <w:start w:val="1"/>
      <w:suff w:val="tab"/>
    </w:lvl>
    <w:lvl w:ilvl="7">
      <w:isLgl w:val="false"/>
      <w:lvlJc w:val="left"/>
      <w:lvlText w:val="%1.%2.%3.%4.%5.%6.%7.%8"/>
      <w:numFmt w:val="decimal"/>
      <w:pPr>
        <w:pBdr/>
        <w:spacing/>
        <w:ind w:hanging="1800" w:left="9360"/>
      </w:pPr>
      <w:rPr>
        <w:rFonts w:hint="default"/>
      </w:rPr>
      <w:start w:val="1"/>
      <w:suff w:val="tab"/>
    </w:lvl>
    <w:lvl w:ilvl="8">
      <w:isLgl w:val="false"/>
      <w:lvlJc w:val="left"/>
      <w:lvlText w:val="%1.%2.%3.%4.%5.%6.%7.%8.%9"/>
      <w:numFmt w:val="decimal"/>
      <w:pPr>
        <w:pBdr/>
        <w:spacing/>
        <w:ind w:hanging="2160" w:left="10800"/>
      </w:pPr>
      <w:rPr>
        <w:rFonts w:hint="default"/>
      </w:rPr>
      <w:start w:val="1"/>
      <w:suff w:val="tab"/>
    </w:lvl>
  </w:abstractNum>
  <w:abstractNum w:abstractNumId="22">
    <w:nsid w:val="58D3574D"/>
    <w:lvl w:ilvl="0">
      <w:isLgl w:val="false"/>
      <w:lvlJc w:val="left"/>
      <w:lvlText w:val="%1"/>
      <w:numFmt w:val="decimal"/>
      <w:pPr>
        <w:pBdr/>
        <w:spacing/>
        <w:ind w:hanging="375" w:left="375"/>
      </w:pPr>
      <w:rPr>
        <w:rFonts w:hint="default"/>
      </w:rPr>
      <w:start w:val="1"/>
      <w:suff w:val="tab"/>
    </w:lvl>
    <w:lvl w:ilvl="1">
      <w:isLgl w:val="false"/>
      <w:lvlJc w:val="left"/>
      <w:lvlText w:val="%1.%2"/>
      <w:numFmt w:val="decimal"/>
      <w:pPr>
        <w:pBdr/>
        <w:spacing/>
        <w:ind w:hanging="375" w:left="1455"/>
      </w:pPr>
      <w:rPr>
        <w:rFonts w:hint="default"/>
      </w:rPr>
      <w:start w:val="3"/>
      <w:suff w:val="tab"/>
    </w:lvl>
    <w:lvl w:ilvl="2">
      <w:isLgl w:val="false"/>
      <w:lvlJc w:val="left"/>
      <w:lvlText w:val="%1.%2.%3"/>
      <w:numFmt w:val="decimal"/>
      <w:pPr>
        <w:pBdr/>
        <w:spacing/>
        <w:ind w:hanging="720" w:left="2880"/>
      </w:pPr>
      <w:rPr>
        <w:rFonts w:hint="default"/>
      </w:rPr>
      <w:start w:val="1"/>
      <w:suff w:val="tab"/>
    </w:lvl>
    <w:lvl w:ilvl="3">
      <w:isLgl w:val="false"/>
      <w:lvlJc w:val="left"/>
      <w:lvlText w:val="%1.%2.%3.%4"/>
      <w:numFmt w:val="decimal"/>
      <w:pPr>
        <w:pBdr/>
        <w:spacing/>
        <w:ind w:hanging="1080" w:left="4320"/>
      </w:pPr>
      <w:rPr>
        <w:rFonts w:hint="default"/>
      </w:rPr>
      <w:start w:val="1"/>
      <w:suff w:val="tab"/>
    </w:lvl>
    <w:lvl w:ilvl="4">
      <w:isLgl w:val="false"/>
      <w:lvlJc w:val="left"/>
      <w:lvlText w:val="%1.%2.%3.%4.%5"/>
      <w:numFmt w:val="decimal"/>
      <w:pPr>
        <w:pBdr/>
        <w:spacing/>
        <w:ind w:hanging="1080" w:left="5400"/>
      </w:pPr>
      <w:rPr>
        <w:rFonts w:hint="default"/>
      </w:rPr>
      <w:start w:val="1"/>
      <w:suff w:val="tab"/>
    </w:lvl>
    <w:lvl w:ilvl="5">
      <w:isLgl w:val="false"/>
      <w:lvlJc w:val="left"/>
      <w:lvlText w:val="%1.%2.%3.%4.%5.%6"/>
      <w:numFmt w:val="decimal"/>
      <w:pPr>
        <w:pBdr/>
        <w:spacing/>
        <w:ind w:hanging="1440" w:left="6840"/>
      </w:pPr>
      <w:rPr>
        <w:rFonts w:hint="default"/>
      </w:rPr>
      <w:start w:val="1"/>
      <w:suff w:val="tab"/>
    </w:lvl>
    <w:lvl w:ilvl="6">
      <w:isLgl w:val="false"/>
      <w:lvlJc w:val="left"/>
      <w:lvlText w:val="%1.%2.%3.%4.%5.%6.%7"/>
      <w:numFmt w:val="decimal"/>
      <w:pPr>
        <w:pBdr/>
        <w:spacing/>
        <w:ind w:hanging="1440" w:left="7920"/>
      </w:pPr>
      <w:rPr>
        <w:rFonts w:hint="default"/>
      </w:rPr>
      <w:start w:val="1"/>
      <w:suff w:val="tab"/>
    </w:lvl>
    <w:lvl w:ilvl="7">
      <w:isLgl w:val="false"/>
      <w:lvlJc w:val="left"/>
      <w:lvlText w:val="%1.%2.%3.%4.%5.%6.%7.%8"/>
      <w:numFmt w:val="decimal"/>
      <w:pPr>
        <w:pBdr/>
        <w:spacing/>
        <w:ind w:hanging="1800" w:left="9360"/>
      </w:pPr>
      <w:rPr>
        <w:rFonts w:hint="default"/>
      </w:rPr>
      <w:start w:val="1"/>
      <w:suff w:val="tab"/>
    </w:lvl>
    <w:lvl w:ilvl="8">
      <w:isLgl w:val="false"/>
      <w:lvlJc w:val="left"/>
      <w:lvlText w:val="%1.%2.%3.%4.%5.%6.%7.%8.%9"/>
      <w:numFmt w:val="decimal"/>
      <w:pPr>
        <w:pBdr/>
        <w:spacing/>
        <w:ind w:hanging="2160" w:left="10800"/>
      </w:pPr>
      <w:rPr>
        <w:rFonts w:hint="default"/>
      </w:rPr>
      <w:start w:val="1"/>
      <w:suff w:val="tab"/>
    </w:lvl>
  </w:abstractNum>
  <w:abstractNum w:abstractNumId="23">
    <w:nsid w:val="65DC7770"/>
    <w:lvl w:ilvl="0">
      <w:isLgl w:val="false"/>
      <w:lvlJc w:val="left"/>
      <w:lvlText w:val=""/>
      <w:numFmt w:val="bullet"/>
      <w:pPr>
        <w:pBdr/>
        <w:spacing/>
        <w:ind w:hanging="360" w:left="144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6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88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60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32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04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76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8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200"/>
      </w:pPr>
      <w:rPr>
        <w:rFonts w:hint="default" w:ascii="Wingdings" w:hAnsi="Wingdings"/>
      </w:rPr>
      <w:start w:val="1"/>
      <w:suff w:val="tab"/>
    </w:lvl>
  </w:abstractNum>
  <w:abstractNum w:abstractNumId="24">
    <w:nsid w:val="66C90467"/>
    <w:lvl w:ilvl="0">
      <w:isLgl w:val="false"/>
      <w:lvlJc w:val="left"/>
      <w:lvlText w:val=""/>
      <w:numFmt w:val="bullet"/>
      <w:pPr>
        <w:pBdr/>
        <w:spacing/>
        <w:ind w:hanging="360" w:left="1429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49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869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589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309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029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749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69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189"/>
      </w:pPr>
      <w:rPr>
        <w:rFonts w:hint="default" w:ascii="Wingdings" w:hAnsi="Wingdings"/>
      </w:rPr>
      <w:start w:val="1"/>
      <w:suff w:val="tab"/>
    </w:lvl>
  </w:abstractNum>
  <w:abstractNum w:abstractNumId="25">
    <w:nsid w:val="70DC6EF2"/>
    <w:lvl w:ilvl="0">
      <w:isLgl w:val="false"/>
      <w:lvlJc w:val="left"/>
      <w:lvlText w:val="%1."/>
      <w:numFmt w:val="decimal"/>
      <w:pPr>
        <w:pBdr/>
        <w:spacing/>
        <w:ind w:hanging="360" w:left="1429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2149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869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3589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4309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5029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749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6469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7189"/>
      </w:pPr>
      <w:rPr/>
      <w:start w:val="1"/>
      <w:suff w:val="tab"/>
    </w:lvl>
  </w:abstractNum>
  <w:abstractNum w:abstractNumId="26">
    <w:nsid w:val="7298048A"/>
    <w:lvl w:ilvl="0">
      <w:isLgl w:val="false"/>
      <w:lvlJc w:val="left"/>
      <w:lvlText w:val=""/>
      <w:numFmt w:val="bullet"/>
      <w:pPr>
        <w:pBdr/>
        <w:spacing/>
        <w:ind w:hanging="360" w:left="144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6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88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60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32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04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76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8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200"/>
      </w:pPr>
      <w:rPr>
        <w:rFonts w:hint="default" w:ascii="Wingdings" w:hAnsi="Wingdings"/>
      </w:rPr>
      <w:start w:val="1"/>
      <w:suff w:val="tab"/>
    </w:lvl>
  </w:abstractNum>
  <w:abstractNum w:abstractNumId="27">
    <w:nsid w:val="78120F46"/>
    <w:lvl w:ilvl="0">
      <w:isLgl w:val="false"/>
      <w:lvlJc w:val="left"/>
      <w:lvlText w:val=""/>
      <w:numFmt w:val="bullet"/>
      <w:pPr>
        <w:pBdr/>
        <w:spacing/>
        <w:ind w:hanging="360" w:left="144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216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88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360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432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504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76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648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7200"/>
      </w:pPr>
      <w:rPr>
        <w:rFonts w:hint="default" w:ascii="Wingdings" w:hAnsi="Wingdings"/>
      </w:rPr>
      <w:start w:val="1"/>
      <w:suff w:val="tab"/>
    </w:lvl>
  </w:abstractNum>
  <w:abstractNum w:abstractNumId="28">
    <w:nsid w:val="796C7C38"/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num w:numId="1">
    <w:abstractNumId w:val="18"/>
  </w:num>
  <w:num w:numId="2">
    <w:abstractNumId w:val="19"/>
  </w:num>
  <w:num w:numId="3">
    <w:abstractNumId w:val="6"/>
  </w:num>
  <w:num w:numId="4">
    <w:abstractNumId w:val="9"/>
  </w:num>
  <w:num w:numId="5">
    <w:abstractNumId w:val="20"/>
  </w:num>
  <w:num w:numId="6">
    <w:abstractNumId w:val="16"/>
  </w:num>
  <w:num w:numId="7">
    <w:abstractNumId w:val="5"/>
  </w:num>
  <w:num w:numId="8">
    <w:abstractNumId w:val="1"/>
  </w:num>
  <w:num w:numId="9">
    <w:abstractNumId w:val="23"/>
  </w:num>
  <w:num w:numId="10">
    <w:abstractNumId w:val="22"/>
  </w:num>
  <w:num w:numId="11">
    <w:abstractNumId w:val="12"/>
  </w:num>
  <w:num w:numId="12">
    <w:abstractNumId w:val="13"/>
  </w:num>
  <w:num w:numId="13">
    <w:abstractNumId w:val="21"/>
  </w:num>
  <w:num w:numId="14">
    <w:abstractNumId w:val="28"/>
  </w:num>
  <w:num w:numId="15">
    <w:abstractNumId w:val="11"/>
  </w:num>
  <w:num w:numId="16">
    <w:abstractNumId w:val="3"/>
  </w:num>
  <w:num w:numId="17">
    <w:abstractNumId w:val="27"/>
  </w:num>
  <w:num w:numId="18">
    <w:abstractNumId w:val="14"/>
  </w:num>
  <w:num w:numId="19">
    <w:abstractNumId w:val="15"/>
  </w:num>
  <w:num w:numId="20">
    <w:abstractNumId w:val="26"/>
  </w:num>
  <w:num w:numId="21">
    <w:abstractNumId w:val="8"/>
  </w:num>
  <w:num w:numId="22">
    <w:abstractNumId w:val="17"/>
    <w:lvlOverride w:ilvl="0">
      <w:startOverride w:val="1"/>
    </w:lvlOverride>
  </w:num>
  <w:num w:numId="23">
    <w:abstractNumId w:val="17"/>
    <w:lvlOverride w:ilvl="0">
      <w:startOverride w:val="2"/>
    </w:lvlOverride>
  </w:num>
  <w:num w:numId="24">
    <w:abstractNumId w:val="17"/>
    <w:lvlOverride w:ilvl="0">
      <w:startOverride w:val="3"/>
    </w:lvlOverride>
  </w:num>
  <w:num w:numId="25">
    <w:abstractNumId w:val="2"/>
  </w:num>
  <w:num w:numId="26">
    <w:abstractNumId w:val="7"/>
  </w:num>
  <w:num w:numId="27">
    <w:abstractNumId w:val="4"/>
  </w:num>
  <w:num w:numId="28">
    <w:abstractNumId w:val="0"/>
  </w:num>
  <w:num w:numId="29">
    <w:abstractNumId w:val="10"/>
  </w:num>
  <w:num w:numId="30">
    <w:abstractNumId w:val="24"/>
  </w:num>
  <w:num w:numId="3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Calibri" w:hAnsi="Calibri" w:eastAsia="Calibri" w:cs="Calibri"/>
        <w:sz w:val="22"/>
        <w:szCs w:val="22"/>
        <w:lang w:val="ru-RU" w:eastAsia="ru-RU" w:bidi="ar-SA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3">
    <w:name w:val="Table Grid Light"/>
    <w:basedOn w:val="792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1"/>
    <w:basedOn w:val="792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2"/>
    <w:basedOn w:val="792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3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4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Plain Table 5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1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2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3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4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5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1 Light - Accent 6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1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2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3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4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5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2 - Accent 6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1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2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3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4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5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3 - Accent 6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"/>
    <w:basedOn w:val="7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1"/>
    <w:basedOn w:val="7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2"/>
    <w:basedOn w:val="7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3"/>
    <w:basedOn w:val="7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4"/>
    <w:basedOn w:val="7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5"/>
    <w:basedOn w:val="7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4 - Accent 6"/>
    <w:basedOn w:val="79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- Accent 1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2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 - Accent 3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- Accent 4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5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5 Dark - Accent 6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1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2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3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4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5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6 Colorful - Accent 6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1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2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3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4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5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7 Colorful - Accent 6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1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2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3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4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5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1 Light - Accent 6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1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2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3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4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5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2 - Accent 6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1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2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3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4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5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3 - Accent 6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1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2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3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4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5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4 - Accent 6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1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2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3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4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5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5 Dark - Accent 6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1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2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3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4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5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6 Colorful - Accent 6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1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2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3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4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5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7 Colorful - Accent 6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"/>
    <w:basedOn w:val="7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1"/>
    <w:basedOn w:val="7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2"/>
    <w:basedOn w:val="7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3"/>
    <w:basedOn w:val="7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4"/>
    <w:basedOn w:val="7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5"/>
    <w:basedOn w:val="7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ned - Accent 6"/>
    <w:basedOn w:val="7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"/>
    <w:basedOn w:val="7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1"/>
    <w:basedOn w:val="7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2"/>
    <w:basedOn w:val="7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3"/>
    <w:basedOn w:val="7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4"/>
    <w:basedOn w:val="7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5"/>
    <w:basedOn w:val="7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 &amp; Lined - Accent 6"/>
    <w:basedOn w:val="79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1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2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3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4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5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Bordered - Accent 6"/>
    <w:basedOn w:val="79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45">
    <w:name w:val="Heading 7"/>
    <w:basedOn w:val="784"/>
    <w:next w:val="784"/>
    <w:link w:val="156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6">
    <w:name w:val="Heading 8"/>
    <w:basedOn w:val="784"/>
    <w:next w:val="784"/>
    <w:link w:val="157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7">
    <w:name w:val="Heading 9"/>
    <w:basedOn w:val="784"/>
    <w:next w:val="784"/>
    <w:link w:val="158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150">
    <w:name w:val="Heading 1 Char"/>
    <w:basedOn w:val="791"/>
    <w:link w:val="785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1">
    <w:name w:val="Heading 2 Char"/>
    <w:basedOn w:val="791"/>
    <w:link w:val="786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2">
    <w:name w:val="Heading 3 Char"/>
    <w:basedOn w:val="791"/>
    <w:link w:val="78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3">
    <w:name w:val="Heading 4 Char"/>
    <w:basedOn w:val="791"/>
    <w:link w:val="788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4">
    <w:name w:val="Heading 5 Char"/>
    <w:basedOn w:val="791"/>
    <w:link w:val="78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5">
    <w:name w:val="Heading 6 Char"/>
    <w:basedOn w:val="791"/>
    <w:link w:val="790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6">
    <w:name w:val="Heading 7 Char"/>
    <w:basedOn w:val="791"/>
    <w:link w:val="145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7">
    <w:name w:val="Heading 8 Char"/>
    <w:basedOn w:val="791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8">
    <w:name w:val="Heading 9 Char"/>
    <w:basedOn w:val="791"/>
    <w:link w:val="14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60">
    <w:name w:val="Title Char"/>
    <w:basedOn w:val="791"/>
    <w:link w:val="795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character" w:styleId="162">
    <w:name w:val="Subtitle Char"/>
    <w:basedOn w:val="791"/>
    <w:link w:val="805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3">
    <w:name w:val="Quote"/>
    <w:basedOn w:val="784"/>
    <w:next w:val="784"/>
    <w:link w:val="164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4">
    <w:name w:val="Quote Char"/>
    <w:basedOn w:val="791"/>
    <w:link w:val="163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6">
    <w:name w:val="Intense Emphasis"/>
    <w:basedOn w:val="791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7">
    <w:name w:val="Intense Quote"/>
    <w:basedOn w:val="784"/>
    <w:next w:val="784"/>
    <w:link w:val="168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8">
    <w:name w:val="Intense Quote Char"/>
    <w:basedOn w:val="791"/>
    <w:link w:val="167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9">
    <w:name w:val="Intense Reference"/>
    <w:basedOn w:val="791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70">
    <w:name w:val="No Spacing"/>
    <w:basedOn w:val="784"/>
    <w:uiPriority w:val="1"/>
    <w:qFormat/>
    <w:pPr>
      <w:pBdr/>
      <w:spacing w:after="0" w:line="240" w:lineRule="auto"/>
      <w:ind/>
    </w:pPr>
  </w:style>
  <w:style w:type="character" w:styleId="171">
    <w:name w:val="Subtle Emphasis"/>
    <w:basedOn w:val="791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2">
    <w:name w:val="Emphasis"/>
    <w:basedOn w:val="791"/>
    <w:uiPriority w:val="20"/>
    <w:qFormat/>
    <w:pPr>
      <w:pBdr/>
      <w:spacing/>
      <w:ind/>
    </w:pPr>
    <w:rPr>
      <w:i/>
      <w:iCs/>
    </w:rPr>
  </w:style>
  <w:style w:type="character" w:styleId="174">
    <w:name w:val="Subtle Reference"/>
    <w:basedOn w:val="791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5">
    <w:name w:val="Book Title"/>
    <w:basedOn w:val="791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177">
    <w:name w:val="Header Char"/>
    <w:basedOn w:val="791"/>
    <w:link w:val="814"/>
    <w:uiPriority w:val="99"/>
    <w:pPr>
      <w:pBdr/>
      <w:spacing/>
      <w:ind/>
    </w:pPr>
  </w:style>
  <w:style w:type="character" w:styleId="179">
    <w:name w:val="Footer Char"/>
    <w:basedOn w:val="791"/>
    <w:link w:val="816"/>
    <w:uiPriority w:val="99"/>
    <w:pPr>
      <w:pBdr/>
      <w:spacing/>
      <w:ind/>
    </w:pPr>
  </w:style>
  <w:style w:type="paragraph" w:styleId="180">
    <w:name w:val="Caption"/>
    <w:basedOn w:val="784"/>
    <w:next w:val="784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1">
    <w:name w:val="footnote text"/>
    <w:basedOn w:val="784"/>
    <w:link w:val="18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2">
    <w:name w:val="Footnote Text Char"/>
    <w:basedOn w:val="791"/>
    <w:link w:val="181"/>
    <w:uiPriority w:val="99"/>
    <w:semiHidden/>
    <w:pPr>
      <w:pBdr/>
      <w:spacing/>
      <w:ind/>
    </w:pPr>
    <w:rPr>
      <w:sz w:val="20"/>
      <w:szCs w:val="20"/>
    </w:rPr>
  </w:style>
  <w:style w:type="character" w:styleId="183">
    <w:name w:val="footnote reference"/>
    <w:basedOn w:val="791"/>
    <w:uiPriority w:val="99"/>
    <w:semiHidden/>
    <w:unhideWhenUsed/>
    <w:pPr>
      <w:pBdr/>
      <w:spacing/>
      <w:ind/>
    </w:pPr>
    <w:rPr>
      <w:vertAlign w:val="superscript"/>
    </w:rPr>
  </w:style>
  <w:style w:type="paragraph" w:styleId="184">
    <w:name w:val="endnote text"/>
    <w:basedOn w:val="784"/>
    <w:link w:val="18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5">
    <w:name w:val="Endnote Text Char"/>
    <w:basedOn w:val="791"/>
    <w:link w:val="184"/>
    <w:uiPriority w:val="99"/>
    <w:semiHidden/>
    <w:pPr>
      <w:pBdr/>
      <w:spacing/>
      <w:ind/>
    </w:pPr>
    <w:rPr>
      <w:sz w:val="20"/>
      <w:szCs w:val="20"/>
    </w:rPr>
  </w:style>
  <w:style w:type="character" w:styleId="186">
    <w:name w:val="endnote reference"/>
    <w:basedOn w:val="791"/>
    <w:uiPriority w:val="99"/>
    <w:semiHidden/>
    <w:unhideWhenUsed/>
    <w:pPr>
      <w:pBdr/>
      <w:spacing/>
      <w:ind/>
    </w:pPr>
    <w:rPr>
      <w:vertAlign w:val="superscript"/>
    </w:rPr>
  </w:style>
  <w:style w:type="character" w:styleId="188">
    <w:name w:val="FollowedHyperlink"/>
    <w:basedOn w:val="791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90">
    <w:name w:val="toc 2"/>
    <w:basedOn w:val="784"/>
    <w:next w:val="784"/>
    <w:uiPriority w:val="39"/>
    <w:unhideWhenUsed/>
    <w:pPr>
      <w:pBdr/>
      <w:spacing w:after="100"/>
      <w:ind w:left="220"/>
    </w:pPr>
  </w:style>
  <w:style w:type="paragraph" w:styleId="191">
    <w:name w:val="toc 3"/>
    <w:basedOn w:val="784"/>
    <w:next w:val="784"/>
    <w:uiPriority w:val="39"/>
    <w:unhideWhenUsed/>
    <w:pPr>
      <w:pBdr/>
      <w:spacing w:after="100"/>
      <w:ind w:left="440"/>
    </w:pPr>
  </w:style>
  <w:style w:type="paragraph" w:styleId="192">
    <w:name w:val="toc 4"/>
    <w:basedOn w:val="784"/>
    <w:next w:val="784"/>
    <w:uiPriority w:val="39"/>
    <w:unhideWhenUsed/>
    <w:pPr>
      <w:pBdr/>
      <w:spacing w:after="100"/>
      <w:ind w:left="660"/>
    </w:pPr>
  </w:style>
  <w:style w:type="paragraph" w:styleId="193">
    <w:name w:val="toc 5"/>
    <w:basedOn w:val="784"/>
    <w:next w:val="784"/>
    <w:uiPriority w:val="39"/>
    <w:unhideWhenUsed/>
    <w:pPr>
      <w:pBdr/>
      <w:spacing w:after="100"/>
      <w:ind w:left="880"/>
    </w:pPr>
  </w:style>
  <w:style w:type="paragraph" w:styleId="194">
    <w:name w:val="toc 6"/>
    <w:basedOn w:val="784"/>
    <w:next w:val="784"/>
    <w:uiPriority w:val="39"/>
    <w:unhideWhenUsed/>
    <w:pPr>
      <w:pBdr/>
      <w:spacing w:after="100"/>
      <w:ind w:left="1100"/>
    </w:pPr>
  </w:style>
  <w:style w:type="paragraph" w:styleId="195">
    <w:name w:val="toc 7"/>
    <w:basedOn w:val="784"/>
    <w:next w:val="784"/>
    <w:uiPriority w:val="39"/>
    <w:unhideWhenUsed/>
    <w:pPr>
      <w:pBdr/>
      <w:spacing w:after="100"/>
      <w:ind w:left="1320"/>
    </w:pPr>
  </w:style>
  <w:style w:type="paragraph" w:styleId="196">
    <w:name w:val="toc 8"/>
    <w:basedOn w:val="784"/>
    <w:next w:val="784"/>
    <w:uiPriority w:val="39"/>
    <w:unhideWhenUsed/>
    <w:pPr>
      <w:pBdr/>
      <w:spacing w:after="100"/>
      <w:ind w:left="1540"/>
    </w:pPr>
  </w:style>
  <w:style w:type="paragraph" w:styleId="197">
    <w:name w:val="toc 9"/>
    <w:basedOn w:val="784"/>
    <w:next w:val="784"/>
    <w:uiPriority w:val="39"/>
    <w:unhideWhenUsed/>
    <w:pPr>
      <w:pBdr/>
      <w:spacing w:after="100"/>
      <w:ind w:left="1760"/>
    </w:pPr>
  </w:style>
  <w:style w:type="character" w:styleId="198">
    <w:name w:val="Placeholder Text"/>
    <w:basedOn w:val="791"/>
    <w:uiPriority w:val="99"/>
    <w:semiHidden/>
    <w:pPr>
      <w:pBdr/>
      <w:spacing/>
      <w:ind/>
    </w:pPr>
    <w:rPr>
      <w:color w:val="666666"/>
    </w:rPr>
  </w:style>
  <w:style w:type="paragraph" w:styleId="209">
    <w:name w:val="table of figures"/>
    <w:basedOn w:val="784"/>
    <w:next w:val="784"/>
    <w:uiPriority w:val="99"/>
    <w:unhideWhenUsed/>
    <w:pPr>
      <w:pBdr/>
      <w:spacing w:after="0" w:afterAutospacing="0"/>
      <w:ind/>
    </w:pPr>
  </w:style>
  <w:style w:type="paragraph" w:styleId="784" w:default="1">
    <w:name w:val="Normal"/>
    <w:qFormat/>
    <w:pPr>
      <w:pBdr/>
      <w:spacing/>
      <w:ind/>
    </w:pPr>
  </w:style>
  <w:style w:type="paragraph" w:styleId="785">
    <w:name w:val="Heading 1"/>
    <w:basedOn w:val="784"/>
    <w:next w:val="784"/>
    <w:pPr>
      <w:keepNext w:val="true"/>
      <w:keepLines w:val="true"/>
      <w:pBdr/>
      <w:spacing w:after="120" w:before="480"/>
      <w:ind/>
      <w:outlineLvl w:val="0"/>
    </w:pPr>
    <w:rPr>
      <w:b/>
      <w:sz w:val="48"/>
      <w:szCs w:val="48"/>
    </w:rPr>
  </w:style>
  <w:style w:type="paragraph" w:styleId="786">
    <w:name w:val="Heading 2"/>
    <w:basedOn w:val="784"/>
    <w:next w:val="784"/>
    <w:pPr>
      <w:keepNext w:val="true"/>
      <w:keepLines w:val="true"/>
      <w:pBdr/>
      <w:spacing w:after="80" w:before="360"/>
      <w:ind/>
      <w:outlineLvl w:val="1"/>
    </w:pPr>
    <w:rPr>
      <w:b/>
      <w:sz w:val="36"/>
      <w:szCs w:val="36"/>
    </w:rPr>
  </w:style>
  <w:style w:type="paragraph" w:styleId="787">
    <w:name w:val="Heading 3"/>
    <w:basedOn w:val="784"/>
    <w:next w:val="784"/>
    <w:pPr>
      <w:keepNext w:val="true"/>
      <w:keepLines w:val="true"/>
      <w:pBdr/>
      <w:spacing w:after="80" w:before="280"/>
      <w:ind/>
      <w:outlineLvl w:val="2"/>
    </w:pPr>
    <w:rPr>
      <w:b/>
      <w:sz w:val="28"/>
      <w:szCs w:val="28"/>
    </w:rPr>
  </w:style>
  <w:style w:type="paragraph" w:styleId="788">
    <w:name w:val="Heading 4"/>
    <w:basedOn w:val="784"/>
    <w:next w:val="784"/>
    <w:pPr>
      <w:keepNext w:val="true"/>
      <w:keepLines w:val="true"/>
      <w:pBdr/>
      <w:spacing w:after="40" w:before="240"/>
      <w:ind/>
      <w:outlineLvl w:val="3"/>
    </w:pPr>
    <w:rPr>
      <w:b/>
      <w:sz w:val="24"/>
      <w:szCs w:val="24"/>
    </w:rPr>
  </w:style>
  <w:style w:type="paragraph" w:styleId="789">
    <w:name w:val="Heading 5"/>
    <w:basedOn w:val="784"/>
    <w:next w:val="784"/>
    <w:pPr>
      <w:keepNext w:val="true"/>
      <w:keepLines w:val="true"/>
      <w:pBdr/>
      <w:spacing w:after="40" w:before="220"/>
      <w:ind/>
      <w:outlineLvl w:val="4"/>
    </w:pPr>
    <w:rPr>
      <w:b/>
    </w:rPr>
  </w:style>
  <w:style w:type="paragraph" w:styleId="790">
    <w:name w:val="Heading 6"/>
    <w:basedOn w:val="784"/>
    <w:next w:val="784"/>
    <w:pPr>
      <w:keepNext w:val="true"/>
      <w:keepLines w:val="true"/>
      <w:pBdr/>
      <w:spacing w:after="40" w:before="200"/>
      <w:ind/>
      <w:outlineLvl w:val="5"/>
    </w:pPr>
    <w:rPr>
      <w:b/>
      <w:sz w:val="20"/>
      <w:szCs w:val="20"/>
    </w:rPr>
  </w:style>
  <w:style w:type="character" w:styleId="791" w:default="1">
    <w:name w:val="Default Paragraph Font"/>
    <w:uiPriority w:val="1"/>
    <w:semiHidden/>
    <w:unhideWhenUsed/>
    <w:pPr>
      <w:pBdr/>
      <w:spacing/>
      <w:ind/>
    </w:pPr>
  </w:style>
  <w:style w:type="table" w:styleId="792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793" w:default="1">
    <w:name w:val="No List"/>
    <w:uiPriority w:val="99"/>
    <w:semiHidden/>
    <w:unhideWhenUsed/>
    <w:pPr>
      <w:pBdr/>
      <w:spacing/>
      <w:ind/>
    </w:pPr>
  </w:style>
  <w:style w:type="table" w:styleId="794" w:customStyle="1">
    <w:name w:val="Table Normal"/>
    <w:pPr>
      <w:pBdr/>
      <w:spacing/>
      <w:ind/>
    </w:pPr>
    <w:tblPr>
      <w:tblCellMar>
        <w:left w:w="0" w:type="dxa"/>
        <w:top w:w="0" w:type="dxa"/>
        <w:right w:w="0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795">
    <w:name w:val="Title"/>
    <w:basedOn w:val="784"/>
    <w:next w:val="784"/>
    <w:pPr>
      <w:keepNext w:val="true"/>
      <w:keepLines w:val="true"/>
      <w:pBdr/>
      <w:spacing w:after="120" w:before="480"/>
      <w:ind/>
    </w:pPr>
    <w:rPr>
      <w:b/>
      <w:sz w:val="72"/>
      <w:szCs w:val="72"/>
    </w:rPr>
  </w:style>
  <w:style w:type="table" w:styleId="796" w:customStyle="1">
    <w:name w:val="Table Normal"/>
    <w:pPr>
      <w:pBdr/>
      <w:spacing/>
      <w:ind/>
    </w:pPr>
    <w:tblPr>
      <w:tblCellMar>
        <w:left w:w="0" w:type="dxa"/>
        <w:top w:w="0" w:type="dxa"/>
        <w:right w:w="0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 w:customStyle="1">
    <w:name w:val="Table Normal"/>
    <w:pPr>
      <w:pBdr/>
      <w:spacing/>
      <w:ind/>
    </w:pPr>
    <w:tblPr>
      <w:tblCellMar>
        <w:left w:w="0" w:type="dxa"/>
        <w:top w:w="0" w:type="dxa"/>
        <w:right w:w="0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798">
    <w:name w:val="Balloon Text"/>
    <w:basedOn w:val="784"/>
    <w:link w:val="799"/>
    <w:uiPriority w:val="99"/>
    <w:semiHidden/>
    <w:unhideWhenUsed/>
    <w:pPr>
      <w:pBdr/>
      <w:spacing/>
      <w:ind/>
    </w:pPr>
    <w:rPr>
      <w:rFonts w:ascii="Tahoma" w:hAnsi="Tahoma" w:cs="Tahoma"/>
      <w:sz w:val="16"/>
      <w:szCs w:val="16"/>
    </w:rPr>
  </w:style>
  <w:style w:type="character" w:styleId="799" w:customStyle="1">
    <w:name w:val="Текст выноски Знак"/>
    <w:basedOn w:val="791"/>
    <w:link w:val="798"/>
    <w:uiPriority w:val="99"/>
    <w:semiHidden/>
    <w:pPr>
      <w:pBdr/>
      <w:spacing/>
      <w:ind/>
    </w:pPr>
    <w:rPr>
      <w:rFonts w:ascii="Tahoma" w:hAnsi="Tahoma" w:cs="Tahoma"/>
      <w:sz w:val="16"/>
      <w:szCs w:val="16"/>
    </w:rPr>
  </w:style>
  <w:style w:type="character" w:styleId="800">
    <w:name w:val="Hyperlink"/>
    <w:basedOn w:val="791"/>
    <w:uiPriority w:val="99"/>
    <w:unhideWhenUsed/>
    <w:pPr>
      <w:pBdr/>
      <w:spacing/>
      <w:ind/>
    </w:pPr>
    <w:rPr>
      <w:color w:val="0000ff"/>
      <w:u w:val="single"/>
    </w:rPr>
  </w:style>
  <w:style w:type="paragraph" w:styleId="801">
    <w:name w:val="Normal (Web)"/>
    <w:basedOn w:val="784"/>
    <w:uiPriority w:val="99"/>
    <w:unhideWhenUsed/>
    <w:pPr>
      <w:pBdr/>
      <w:spacing w:after="100" w:afterAutospacing="1" w:before="100" w:beforeAutospacing="1"/>
      <w:ind/>
    </w:pPr>
    <w:rPr>
      <w:rFonts w:ascii="Times New Roman" w:hAnsi="Times New Roman" w:eastAsia="Times New Roman" w:cs="Times New Roman"/>
      <w:sz w:val="24"/>
      <w:szCs w:val="24"/>
    </w:rPr>
  </w:style>
  <w:style w:type="character" w:styleId="802" w:customStyle="1">
    <w:name w:val="mwe-math-mathml-inline"/>
    <w:basedOn w:val="791"/>
    <w:pPr>
      <w:pBdr/>
      <w:spacing/>
      <w:ind/>
    </w:pPr>
  </w:style>
  <w:style w:type="table" w:styleId="803">
    <w:name w:val="Table Grid"/>
    <w:basedOn w:val="792"/>
    <w:uiPriority w:val="59"/>
    <w:pPr>
      <w:pBdr/>
      <w:spacing/>
      <w:ind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04" w:customStyle="1">
    <w:name w:val="apple-tab-span"/>
    <w:basedOn w:val="791"/>
    <w:pPr>
      <w:pBdr/>
      <w:spacing/>
      <w:ind/>
    </w:pPr>
  </w:style>
  <w:style w:type="paragraph" w:styleId="805">
    <w:name w:val="Subtitle"/>
    <w:basedOn w:val="784"/>
    <w:next w:val="784"/>
    <w:pPr>
      <w:keepNext w:val="true"/>
      <w:keepLines w:val="true"/>
      <w:pBdr/>
      <w:spacing w:after="80" w:before="360"/>
      <w:ind/>
    </w:pPr>
    <w:rPr>
      <w:rFonts w:ascii="Georgia" w:hAnsi="Georgia" w:eastAsia="Georgia" w:cs="Georgia"/>
      <w:i/>
      <w:color w:val="666666"/>
      <w:sz w:val="48"/>
      <w:szCs w:val="48"/>
    </w:rPr>
  </w:style>
  <w:style w:type="table" w:styleId="806" w:customStyle="1">
    <w:name w:val="StGen0"/>
    <w:basedOn w:val="797"/>
    <w:pPr>
      <w:pBdr/>
      <w:spacing/>
      <w:ind/>
    </w:pPr>
    <w:tblPr>
      <w:tblStyleRowBandSize w:val="1"/>
      <w:tblStyleColBandSize w:val="1"/>
      <w:tblCellMar>
        <w:left w:w="15" w:type="dxa"/>
        <w:top w:w="15" w:type="dxa"/>
        <w:right w:w="15" w:type="dxa"/>
        <w:bottom w:w="15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07">
    <w:name w:val="List Paragraph"/>
    <w:basedOn w:val="784"/>
    <w:uiPriority w:val="1"/>
    <w:qFormat/>
    <w:pPr>
      <w:pBdr/>
      <w:spacing/>
      <w:ind w:left="720"/>
      <w:contextualSpacing w:val="true"/>
    </w:pPr>
  </w:style>
  <w:style w:type="table" w:styleId="808" w:customStyle="1">
    <w:name w:val="StGen1"/>
    <w:basedOn w:val="797"/>
    <w:pPr>
      <w:pBdr/>
      <w:spacing/>
      <w:ind/>
    </w:pPr>
    <w:tblPr>
      <w:tblStyleRowBandSize w:val="1"/>
      <w:tblStyleColBandSize w:val="1"/>
      <w:tblCellMar>
        <w:left w:w="15" w:type="dxa"/>
        <w:top w:w="15" w:type="dxa"/>
        <w:right w:w="15" w:type="dxa"/>
        <w:bottom w:w="15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 w:customStyle="1">
    <w:name w:val="StGen2"/>
    <w:basedOn w:val="796"/>
    <w:pPr>
      <w:pBdr/>
      <w:spacing/>
      <w:ind/>
    </w:pPr>
    <w:tblPr>
      <w:tblStyleRowBandSize w:val="1"/>
      <w:tblStyleColBandSize w:val="1"/>
      <w:tblCellMar>
        <w:left w:w="15" w:type="dxa"/>
        <w:top w:w="15" w:type="dxa"/>
        <w:right w:w="15" w:type="dxa"/>
        <w:bottom w:w="15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10" w:customStyle="1">
    <w:name w:val="richfactdown-paragraph"/>
    <w:basedOn w:val="784"/>
    <w:pPr>
      <w:pBdr/>
      <w:spacing w:after="100" w:afterAutospacing="1" w:before="100" w:beforeAutospacing="1"/>
      <w:ind/>
    </w:pPr>
    <w:rPr>
      <w:rFonts w:ascii="Times New Roman" w:hAnsi="Times New Roman" w:eastAsia="Times New Roman" w:cs="Times New Roman"/>
      <w:sz w:val="24"/>
      <w:szCs w:val="24"/>
    </w:rPr>
  </w:style>
  <w:style w:type="character" w:styleId="811">
    <w:name w:val="Strong"/>
    <w:basedOn w:val="791"/>
    <w:uiPriority w:val="22"/>
    <w:qFormat/>
    <w:pPr>
      <w:pBdr/>
      <w:spacing/>
      <w:ind/>
    </w:pPr>
    <w:rPr>
      <w:b/>
      <w:bCs/>
    </w:rPr>
  </w:style>
  <w:style w:type="paragraph" w:styleId="812">
    <w:name w:val="TOC Heading"/>
    <w:basedOn w:val="785"/>
    <w:next w:val="784"/>
    <w:uiPriority w:val="39"/>
    <w:unhideWhenUsed/>
    <w:qFormat/>
    <w:pPr>
      <w:pBdr/>
      <w:spacing w:after="0" w:before="240" w:line="259" w:lineRule="auto"/>
      <w:ind/>
      <w:outlineLvl w:val="9"/>
    </w:pPr>
    <w:rPr>
      <w:rFonts w:asciiTheme="majorHAnsi" w:hAnsiTheme="majorHAnsi" w:eastAsiaTheme="majorEastAsia" w:cstheme="majorBidi"/>
      <w:b w:val="0"/>
      <w:color w:val="365f91" w:themeColor="accent1" w:themeShade="BF"/>
      <w:sz w:val="32"/>
      <w:szCs w:val="32"/>
    </w:rPr>
  </w:style>
  <w:style w:type="paragraph" w:styleId="813">
    <w:name w:val="toc 1"/>
    <w:basedOn w:val="784"/>
    <w:next w:val="784"/>
    <w:uiPriority w:val="39"/>
    <w:unhideWhenUsed/>
    <w:pPr>
      <w:pBdr/>
      <w:spacing w:after="100"/>
      <w:ind/>
    </w:pPr>
  </w:style>
  <w:style w:type="paragraph" w:styleId="814">
    <w:name w:val="Header"/>
    <w:basedOn w:val="784"/>
    <w:link w:val="815"/>
    <w:uiPriority w:val="99"/>
    <w:unhideWhenUsed/>
    <w:pPr>
      <w:pBdr/>
      <w:tabs>
        <w:tab w:val="center" w:leader="none" w:pos="4677"/>
        <w:tab w:val="right" w:leader="none" w:pos="9355"/>
      </w:tabs>
      <w:spacing/>
      <w:ind/>
    </w:pPr>
  </w:style>
  <w:style w:type="character" w:styleId="815" w:customStyle="1">
    <w:name w:val="Верхний колонтитул Знак"/>
    <w:basedOn w:val="791"/>
    <w:link w:val="814"/>
    <w:uiPriority w:val="99"/>
    <w:pPr>
      <w:pBdr/>
      <w:spacing/>
      <w:ind/>
    </w:pPr>
  </w:style>
  <w:style w:type="paragraph" w:styleId="816">
    <w:name w:val="Footer"/>
    <w:basedOn w:val="784"/>
    <w:link w:val="817"/>
    <w:uiPriority w:val="99"/>
    <w:unhideWhenUsed/>
    <w:pPr>
      <w:pBdr/>
      <w:tabs>
        <w:tab w:val="center" w:leader="none" w:pos="4677"/>
        <w:tab w:val="right" w:leader="none" w:pos="9355"/>
      </w:tabs>
      <w:spacing/>
      <w:ind/>
    </w:pPr>
  </w:style>
  <w:style w:type="character" w:styleId="817" w:customStyle="1">
    <w:name w:val="Нижний колонтитул Знак"/>
    <w:basedOn w:val="791"/>
    <w:link w:val="816"/>
    <w:uiPriority w:val="99"/>
    <w:pPr>
      <w:pBdr/>
      <w:spacing/>
      <w:ind/>
    </w:pPr>
  </w:style>
  <w:style w:type="character" w:styleId="818" w:customStyle="1">
    <w:name w:val="ng-star-inserted"/>
    <w:basedOn w:val="791"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Relationship Id="rId10" Type="http://schemas.openxmlformats.org/officeDocument/2006/relationships/customXml" Target="../customXml/item1.xml" /><Relationship Id="rId11" Type="http://schemas.openxmlformats.org/officeDocument/2006/relationships/customXml" Target="../customXml/item2.xml" /><Relationship Id="rId12" Type="http://schemas.openxmlformats.org/officeDocument/2006/relationships/image" Target="media/image1.png"/><Relationship Id="rId13" Type="http://schemas.openxmlformats.org/officeDocument/2006/relationships/image" Target="media/image2.png"/><Relationship Id="rId14" Type="http://schemas.openxmlformats.org/officeDocument/2006/relationships/image" Target="media/image3.png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Q6hB5T4BA48gXbDbRm3Cb4mWwA==">CgMxLjAyCWguMWZvYjl0ZTIIaC5namRneHMyCWguMzBqMHpsbDgAciExMnkxMkpTemFZbjBCNG9qZjNOODh4ejhEOXpaeVlUblg=</go:docsCustomData>
</go:gDocsCustomXmlDataStorage>
</file>

<file path=customXml/itemProps1.xml><?xml version="1.0" encoding="utf-8"?>
<ds:datastoreItem xmlns:ds="http://schemas.openxmlformats.org/officeDocument/2006/customXml" ds:itemID="{642F92CE-2FF9-4811-A92C-1EBD480658A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ONLYOFFICE/9.0.4.50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revision>32</cp:revision>
  <dcterms:created xsi:type="dcterms:W3CDTF">2024-05-21T17:57:00Z</dcterms:created>
  <dcterms:modified xsi:type="dcterms:W3CDTF">2025-10-18T01:28:21Z</dcterms:modified>
</cp:coreProperties>
</file>