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28675" cy="609600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828675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65.25pt;height:48.00pt;mso-wrap-distance-left:0.00pt;mso-wrap-distance-top:0.00pt;mso-wrap-distance-right:0.00pt;mso-wrap-distance-bottom:0.00pt;z-index:1;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keepNext w:val="true"/>
        <w:widowControl w:val="false"/>
        <w:pBdr/>
        <w:spacing/>
        <w:ind w:left="-709"/>
        <w:jc w:val="center"/>
        <w:rPr>
          <w:rFonts w:ascii="Courier New" w:hAnsi="Courier New" w:eastAsia="Courier New" w:cs="Courier New"/>
          <w:sz w:val="24"/>
          <w:szCs w:val="24"/>
        </w:rPr>
      </w:pPr>
      <w:r>
        <w:rPr>
          <w:rFonts w:ascii="Courier New" w:hAnsi="Courier New" w:eastAsia="Courier New" w:cs="Courier New"/>
          <w:sz w:val="24"/>
          <w:szCs w:val="24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04800" cy="133350"/>
                <wp:effectExtent l="0" t="0" r="0" b="0"/>
                <wp:docPr id="2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/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304800" cy="1333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24.00pt;height:10.50pt;mso-wrap-distance-left:0.00pt;mso-wrap-distance-top:0.00pt;mso-wrap-distance-right:0.00pt;mso-wrap-distance-bottom:0.00pt;z-index:1;">
                <v:imagedata r:id="rId13" o:title=""/>
                <o:lock v:ext="edit" rotation="t"/>
              </v:shape>
            </w:pict>
          </mc:Fallback>
        </mc:AlternateContent>
      </w:r>
      <w:r>
        <w:rPr>
          <w:rFonts w:ascii="Courier New" w:hAnsi="Courier New" w:eastAsia="Courier New" w:cs="Courier New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высшего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«Кубанский государственный университет»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(ФГБОУ ВО «КубГУ»)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widowControl w:val="false"/>
        <w:pBdr/>
        <w:spacing/>
        <w:ind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Физико-технический факультет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Кафедра теоретической физики и компьютерных технологий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widowControl w:val="false"/>
        <w:pBdr/>
        <w:spacing/>
        <w:ind w:left="-851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ОТЧ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лабораторной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работе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ОБЩЕРОССИЙСКИЕ КЛАССИФИКАТОРЫ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ТЕХНИКО-ЭКОНОМИЧЕСКОЙ ИНФОРМАЦИИ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Работу выполнил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Васильев Никита Евгениевич</w:t>
      </w:r>
      <w:r/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color w:val="000000"/>
          <w:spacing w:val="1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подготовки 09.03.02 Информационные системы и технологии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</w:t>
      </w:r>
      <w:r>
        <w:rPr>
          <w:rFonts w:ascii="Times New Roman" w:hAnsi="Times New Roman" w:cs="Times New Roman"/>
          <w:sz w:val="28"/>
          <w:szCs w:val="28"/>
        </w:rPr>
        <w:t xml:space="preserve">ель Парфенова И. 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Должность Доцент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/>
        <w:ind w:left="-851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 w:left="-85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Краснодар, 202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eastAsia="Times New Roman" w:cs="Times New Roman"/>
          <w:sz w:val="24"/>
          <w:szCs w:val="24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sdt>
      <w:sdtPr>
        <w15:appearance w15:val="boundingBox"/>
        <w:id w:val="1435554735"/>
        <w:rPr>
          <w:rFonts w:ascii="Calibri" w:hAnsi="Calibri" w:eastAsia="Calibri" w:cs="Calibri"/>
          <w:color w:val="auto"/>
          <w:sz w:val="22"/>
          <w:szCs w:val="22"/>
        </w:rPr>
      </w:sdtPr>
      <w:sdtContent>
        <w:p>
          <w:pPr>
            <w:pStyle w:val="812"/>
            <w:pBdr/>
            <w:spacing/>
            <w:ind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 xml:space="preserve">Содержание</w:t>
          </w:r>
          <w:r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r>
        </w:p>
        <w:p>
          <w:pPr>
            <w:pBdr/>
            <w:spacing/>
            <w:ind/>
            <w:rPr/>
          </w:pPr>
          <w:r/>
          <w:r/>
        </w:p>
        <w:p>
          <w:pPr>
            <w:pStyle w:val="813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tooltip="#_Toc177070546" w:anchor="_Toc177070546" w:history="1">
            <w:r>
              <w:rPr>
                <w:rStyle w:val="800"/>
                <w:rFonts w:ascii="Times New Roman" w:hAnsi="Times New Roman" w:eastAsia="Times New Roman" w:cs="Times New Roman"/>
                <w:sz w:val="28"/>
                <w:szCs w:val="28"/>
              </w:rPr>
              <w:t xml:space="preserve">Введение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 xml:space="preserve"> PAGEREF _Toc177070546 \h 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3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800"/>
                <w:rFonts w:ascii="Times New Roman" w:hAnsi="Times New Roman" w:eastAsia="Times New Roman" w:cs="Times New Roman"/>
                <w:sz w:val="28"/>
                <w:szCs w:val="28"/>
              </w:rPr>
              <w:t xml:space="preserve">Задание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3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800"/>
                <w:rFonts w:ascii="Times New Roman" w:hAnsi="Times New Roman" w:eastAsia="Times New Roman" w:cs="Times New Roman"/>
                <w:sz w:val="28"/>
                <w:szCs w:val="28"/>
              </w:rPr>
              <w:t xml:space="preserve">Теоретическая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bookmarkStart w:id="0" w:name="_GoBack"/>
            <w:bookmarkEnd w:id="0"/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3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7" w:anchor="_Toc177070547" w:history="1">
            <w:r>
              <w:rPr>
                <w:rStyle w:val="800"/>
                <w:rFonts w:ascii="Times New Roman" w:hAnsi="Times New Roman" w:eastAsia="Times New Roman" w:cs="Times New Roman"/>
                <w:sz w:val="28"/>
                <w:szCs w:val="28"/>
              </w:rPr>
              <w:t xml:space="preserve">Практическая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Style w:val="813"/>
            <w:pBdr/>
            <w:tabs>
              <w:tab w:val="right" w:leader="dot" w:pos="9344"/>
            </w:tabs>
            <w:spacing/>
            <w:ind/>
            <w:rPr>
              <w:rFonts w:ascii="Times New Roman" w:hAnsi="Times New Roman" w:cs="Times New Roman" w:eastAsiaTheme="minorEastAsia"/>
              <w:sz w:val="28"/>
              <w:szCs w:val="28"/>
            </w:rPr>
          </w:pPr>
          <w:r/>
          <w:hyperlink w:tooltip="#_Toc177070548" w:anchor="_Toc177070548" w:history="1">
            <w:r>
              <w:rPr>
                <w:rStyle w:val="800"/>
                <w:rFonts w:ascii="Times New Roman" w:hAnsi="Times New Roman" w:eastAsia="Times New Roman" w:cs="Times New Roman"/>
                <w:sz w:val="28"/>
                <w:szCs w:val="28"/>
              </w:rPr>
              <w:t xml:space="preserve">Заключение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</w:hyperlink>
          <w:r/>
          <w:r>
            <w:rPr>
              <w:rFonts w:ascii="Times New Roman" w:hAnsi="Times New Roman" w:cs="Times New Roman" w:eastAsiaTheme="minorEastAsia"/>
              <w:sz w:val="28"/>
              <w:szCs w:val="28"/>
            </w:rPr>
          </w:r>
        </w:p>
        <w:p>
          <w:pPr>
            <w:pBdr/>
            <w:spacing/>
            <w:ind/>
            <w:rPr/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  <w:r/>
        </w:p>
      </w:sdtContent>
    </w:sdt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85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1" w:name="_Toc177070546"/>
      <w:r>
        <w:rPr>
          <w:rFonts w:ascii="Times New Roman" w:hAnsi="Times New Roman" w:eastAsia="Times New Roman" w:cs="Times New Roman"/>
          <w:sz w:val="28"/>
          <w:szCs w:val="28"/>
        </w:rPr>
        <w:t xml:space="preserve">Введение</w:t>
      </w:r>
      <w:bookmarkEnd w:id="1"/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Целью выполнения данной работы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является освоение работы с общероссийским классификатором ЕСКД, выделение существенных признаков объектов классификации и приобретение навыков их идентификации путем присвоения обозначения изделиям и конструкторским документам в соответствии с ГОСТ 2.201.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5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/>
      </w:pPr>
      <w:r/>
      <w:r/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объекта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Анализаторы радиоспектрометрические с измерением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амплитуды СВЧ колебаний</w:t>
      </w:r>
      <w:r/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», приведенного в таблице 3.1 методических указаний, присвоить код классификационной характеристики, используя Общероссийский классификатор изделий и конструкторских документов ОК 012-93 (Классификатор ЕСКД).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05525" cy="3048000"/>
                <wp:effectExtent l="0" t="0" r="9525" b="0"/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105525" cy="304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480.75pt;height:240.00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.2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Проанализировать и расписать структуру присвоенного кода классификационной характеристики с указанием выявленных признаков (класс, подкласс, группа, подгруппа, вид).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.3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ГОСТ 2.201, сформировать и расписать структуру полного обозначения для изделия, отразив источники нахождения соответствующих кодов.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.4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Ответить в письменном виде на следующие вопросы.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Является ли ОК нормативным документом?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чего нужны ОК (привести примеры и отразить общие сведения по известным классификаторам)?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Какой орган допускает ОК к использованию на территории РФ?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 взаимосвязаны ОК ЕСКД и ГОСТ 2.201?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Какую информацию заключают в себе части обозначения изделия, разделенные точками в соответствии со структурой обозначения изделия, приведенной в ГОСТ 2.201?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Где следует искать присваиваемое числовое/буквенное обозначение соответствующей части, входящей в обозначение изделия?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2.5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Результаты выполнения заданий поместить в отчет и сделать выводы о проделанной работе.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5"/>
        <w:pBdr/>
        <w:spacing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Теоретическая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/>
      </w:pPr>
      <w:r/>
      <w:r/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Общероссийский классификатор — это нормативн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ый документ в области стандартизации, который распределяет технико-экономическую и социальную информацию в соответствии с ее классификацией (классами, группами, видами и др.) и является обязательным для применения в государственных информационных системах.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Классификатор ЕСКД (ОК 012-93) — Общероссийский классификатор изделий и конструкторских документов, предназнач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енный для обеспечения единой системы классификации и кодирования изделий основного и вспомогательного производства и их конструкторских документов. Структура классификатора имеет иерархическую систему с 6 уровнями: класс, подкласс, группа, подгруппа и вид.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ГОСТ 2.201 «ЕСКД. Обозначение изделий и конструкторских документов» — стандарт, устанавливающий единую обезличенную систему обозначения изделий и их конструкторских документов. Обозначение, согласно стандарту, должно иметь следующую структуру: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АБВГ.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012345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678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где: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АБВГ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четырехзначный буквенный код организации-разработчика, присваиваемый в установленном порядке.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012345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шестизначный цифровой код классификационной характеристики, присваиваемый изделию по классификатору ЕСКД.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678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трехзначный порядковый регистрационный номер, присваиваемый разработчиком.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Взаимосвязь ОК ЕСКД и ГОСТ 2.201: Классификатор ЕСКД предоставляет обязательную составную часть (классификационную характеристику) для формирования полного обозначения изделия, структура которого определяется стандартом ГОСТ 2.201.</w:t>
      </w:r>
      <w:r>
        <w:rPr>
          <w:rFonts w:ascii="Times New Roman" w:hAnsi="Times New Roman" w:eastAsia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5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Практическая часть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/>
      </w:pPr>
      <w:r/>
      <w:r/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.1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разрабатываемого объекта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Анализаторы радиоспектрометрические с измерением амплитуды СВЧ колебаний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классификационной характеристики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415431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5"/>
        <w:pBdr/>
        <w:spacing w:after="0" w:before="0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5"/>
        <w:pBdr/>
        <w:spacing w:after="0" w:before="0"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Структура кода классификационной характеристики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803"/>
        <w:tblW w:w="0" w:type="auto"/>
        <w:tblBorders/>
        <w:tblLook w:val="04A0" w:firstRow="1" w:lastRow="0" w:firstColumn="1" w:lastColumn="0" w:noHBand="0" w:noVBand="1"/>
      </w:tblPr>
      <w:tblGrid>
        <w:gridCol w:w="1806"/>
        <w:gridCol w:w="2056"/>
        <w:gridCol w:w="5992"/>
      </w:tblGrid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204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классификации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600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группировки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41 0000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04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0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измерений электрических и магнитных величин, ионизирующих излучений,</w:t>
            </w:r>
            <w:r/>
          </w:p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интроскопии, определения состава и физико-химических свойств веществ</w:t>
            </w:r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41 5000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04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Подкласс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0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Средства определения состава и свойств твердых и сыпучих веществ, средства универсальные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41 5400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04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0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Анализаторы и преобразователи масс-спектрометрические, радиоспектрометрические, рентгенорадиометрические, универсальные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04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0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Анализаторы радиоспектрометрические</w:t>
            </w:r>
            <w:r/>
          </w:p>
        </w:tc>
      </w:tr>
      <w:tr>
        <w:trPr/>
        <w:tc>
          <w:tcPr>
            <w:tcBorders/>
            <w:tcW w:w="1809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41 54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2042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6003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Электропарамагнитного резонанса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Таблица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.2 –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Структура полного обозначения изделия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tbl>
      <w:tblPr>
        <w:tblStyle w:val="803"/>
        <w:tblW w:w="0" w:type="auto"/>
        <w:tblBorders/>
        <w:tblLook w:val="04A0" w:firstRow="1" w:lastRow="0" w:firstColumn="1" w:lastColumn="0" w:noHBand="0" w:noVBand="1"/>
      </w:tblPr>
      <w:tblGrid>
        <w:gridCol w:w="1717"/>
        <w:gridCol w:w="3211"/>
        <w:gridCol w:w="4926"/>
      </w:tblGrid>
      <w:tr>
        <w:trPr/>
        <w:tc>
          <w:tcPr>
            <w:tcBorders/>
            <w:tcW w:w="1717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Часть обозначения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321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Значение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/>
            <w:tcW w:w="492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Источник присвоения</w:t>
            </w:r>
            <w:r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717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21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92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717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ФЮРА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21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организации-разработчика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92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Присваивается централизованно организации (предприятию)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tbl>
      <w:tblPr>
        <w:tblStyle w:val="803"/>
        <w:tblW w:w="0" w:type="auto"/>
        <w:tblBorders/>
        <w:tblLook w:val="04A0" w:firstRow="1" w:lastRow="0" w:firstColumn="1" w:lastColumn="0" w:noHBand="0" w:noVBand="1"/>
      </w:tblPr>
      <w:tblGrid>
        <w:gridCol w:w="1717"/>
        <w:gridCol w:w="3211"/>
        <w:gridCol w:w="4926"/>
      </w:tblGrid>
      <w:tr>
        <w:trPr/>
        <w:tc>
          <w:tcPr>
            <w:tcBorders/>
            <w:tcW w:w="1717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415431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21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классификационной характеристики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92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Определяется по классификатору ОК 012-93 (Классификатор ЕСКД)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1717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3211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Порядковый регистрационный 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/>
            <w:tcW w:w="4926" w:type="dxa"/>
            <w:textDirection w:val="lrTb"/>
            <w:noWrap w:val="false"/>
          </w:tcPr>
          <w:p>
            <w:pPr>
              <w:pBdr/>
              <w:spacing w:line="360" w:lineRule="auto"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Присваивается организацией-разработчиком последовательно для каждого нового изделия в пределах одного классификационного кода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3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7"/>
        <w:numPr>
          <w:ilvl w:val="0"/>
          <w:numId w:val="31"/>
        </w:num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Является ли ОК нормативным документом?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Да, Общероссийский классификатор является нормативным документом по стандартизации, его применение обязательно в установленных законодательством случаях.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7"/>
        <w:numPr>
          <w:ilvl w:val="0"/>
          <w:numId w:val="31"/>
        </w:num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чего нужны ОК?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Классификаторы необходимы дл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 систематизации и унификации информации, обеспечения ее автоматизированной обработки, сопоставимости данных в различных информационных системах, а также для однозначной идентификации объектов (например, видов экономической деятельности, продукции, услуг).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7"/>
        <w:numPr>
          <w:ilvl w:val="0"/>
          <w:numId w:val="31"/>
        </w:num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Какой орган допускает ОК к использованию на территории РФ?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Федеральное агентство по техническому регулированию и метрологии (Росстандарт).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7"/>
        <w:numPr>
          <w:ilvl w:val="0"/>
          <w:numId w:val="31"/>
        </w:num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Как взаимосвязаны ОК ЕСКД и ГОСТ 2.201?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Они неразрывно связаны: ОК ЕСКД предоставляет шестизначный классификационный код объекта, а ГОСТ 2.201 устанавливает правило, как этот код, вместе с кодом разработчика и порядковым номером, сформировать в единое полное обозначение изделия.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07"/>
        <w:numPr>
          <w:ilvl w:val="0"/>
          <w:numId w:val="31"/>
        </w:numPr>
        <w:pBdr/>
        <w:spacing w:line="360" w:lineRule="auto"/>
        <w:ind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Где следует искать присваиваемое числовое/буквенное обозначение каждой части?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Код организации-разработчика: получается организацией при регистрации.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Классификационная характеристика: находится в классификаторе ОК 012-93 (ЕСКД) путем анализа признаков изделия.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Порядковый номер: присваивается в отделе технической документации организации-разработчика.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/>
        <w:ind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Style w:val="785"/>
        <w:pBdr/>
        <w:spacing/>
        <w:ind/>
        <w:jc w:val="center"/>
        <w:rPr>
          <w:rFonts w:ascii="Times New Roman" w:hAnsi="Times New Roman" w:eastAsia="Times New Roman" w:cs="Times New Roman"/>
          <w:sz w:val="28"/>
          <w:szCs w:val="28"/>
        </w:rPr>
      </w:pPr>
      <w:r/>
      <w:bookmarkStart w:id="2" w:name="_Toc177070548"/>
      <w:r>
        <w:rPr>
          <w:rFonts w:ascii="Times New Roman" w:hAnsi="Times New Roman" w:eastAsia="Times New Roman" w:cs="Times New Roman"/>
          <w:sz w:val="28"/>
          <w:szCs w:val="28"/>
        </w:rPr>
        <w:t xml:space="preserve">Заключение</w:t>
      </w:r>
      <w:bookmarkEnd w:id="2"/>
      <w:r/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ходе выполнения лабораторной работы были освоены принципы работы с Общероссийским классификатором изделий и конструкторских документов ОК 012-93 (Классификатор ЕСКД) и стандартом ГОСТ 2.201.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изделия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Анализаторы радиоспектрометрические с измерением амплитуды СВЧ колебаний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(вариант №4) была проведена процедура классификации. На основе его функциональных признаков был присвоен код классификационной характеристики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41 5431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Bdr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Таким образом, цели лабораторной работы были достигнуты: получены практические навыки классификации и идентификации изделий, а также закреплены знания о роли и взаимосвязи ключевых стандартов в системе конструкторской документации.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erReference w:type="default" r:id="rId9"/>
      <w:footnotePr/>
      <w:endnotePr/>
      <w:type w:val="nextPage"/>
      <w:pgSz w:h="16838" w:orient="portrait" w:w="11906"/>
      <w:pgMar w:top="1134" w:right="567" w:bottom="1134" w:left="1701" w:header="709" w:footer="709" w:gutter="0"/>
      <w:pgNumType w:start="1"/>
      <w:cols w:num="1" w:sep="0" w:space="720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/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Georgia">
    <w:panose1 w:val="02040502050405020303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55974800"/>
      <w:rPr/>
    </w:sdtPr>
    <w:sdtContent>
      <w:p>
        <w:pPr>
          <w:pStyle w:val="816"/>
          <w:pBdr/>
          <w:spacing/>
          <w:ind/>
          <w:jc w:val="right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7</w:t>
        </w:r>
        <w:r>
          <w:fldChar w:fldCharType="end"/>
        </w:r>
        <w:r/>
      </w:p>
    </w:sdtContent>
  </w:sdt>
  <w:p>
    <w:pPr>
      <w:pStyle w:val="81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230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Times New Roman" w:hAnsi="Times New Roman" w:cs="Times New Roman" w:eastAsiaTheme="minorHAnsi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40B5A4F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">
    <w:nsid w:val="06465A1C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50" w:left="81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08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144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180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16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2520"/>
      </w:pPr>
      <w:rPr>
        <w:rFonts w:hint="default"/>
      </w:rPr>
      <w:start w:val="1"/>
      <w:suff w:val="tab"/>
    </w:lvl>
  </w:abstractNum>
  <w:abstractNum w:abstractNumId="3">
    <w:nsid w:val="083E55D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nsid w:val="0A660DBF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B0151B4"/>
    <w:lvl w:ilvl="0">
      <w:isLgl w:val="false"/>
      <w:lvlJc w:val="left"/>
      <w:lvlText w:val="%1"/>
      <w:numFmt w:val="decimal"/>
      <w:pPr>
        <w:pBdr/>
        <w:spacing/>
        <w:ind w:hanging="360" w:left="1440"/>
      </w:pPr>
      <w:rPr>
        <w:rFonts w:ascii="Times New Roman" w:hAnsi="Times New Roman" w:eastAsia="Times New Roman" w:cs="Times New Roman"/>
      </w:rPr>
      <w:start w:val="1"/>
      <w:suff w:val="tab"/>
    </w:lvl>
    <w:lvl w:ilvl="1">
      <w:isLgl w:val="true"/>
      <w:lvlJc w:val="left"/>
      <w:lvlText w:val="%1.%2"/>
      <w:numFmt w:val="decimal"/>
      <w:pPr>
        <w:pBdr/>
        <w:spacing/>
        <w:ind w:hanging="450" w:left="1530"/>
      </w:pPr>
      <w:rPr>
        <w:rFonts w:hint="default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spacing/>
        <w:ind w:hanging="720" w:left="1800"/>
      </w:pPr>
      <w:rPr>
        <w:rFonts w:hint="default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spacing/>
        <w:ind w:hanging="1080" w:left="2160"/>
      </w:pPr>
      <w:rPr>
        <w:rFonts w:hint="default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spacing/>
        <w:ind w:hanging="1080" w:left="2160"/>
      </w:pPr>
      <w:rPr>
        <w:rFonts w:hint="default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spacing/>
        <w:ind w:hanging="1440" w:left="2520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spacing/>
        <w:ind w:hanging="1800" w:left="2880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spacing/>
        <w:ind w:hanging="2160" w:left="3240"/>
      </w:pPr>
      <w:rPr>
        <w:rFonts w:hint="default"/>
      </w:rPr>
      <w:start w:val="1"/>
      <w:suff w:val="tab"/>
    </w:lvl>
  </w:abstractNum>
  <w:abstractNum w:abstractNumId="6">
    <w:nsid w:val="1970125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7">
    <w:nsid w:val="19C549B0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8">
    <w:nsid w:val="1D895069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%2."/>
      <w:numFmt w:val="decimal"/>
      <w:pPr>
        <w:pBdr/>
        <w:spacing/>
        <w:ind w:hanging="360" w:left="1440"/>
      </w:pPr>
      <w:rPr>
        <w:rFonts w:hint="default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9">
    <w:nsid w:val="23CC08F0"/>
    <w:lvl w:ilvl="0">
      <w:isLgl w:val="false"/>
      <w:lvlJc w:val="left"/>
      <w:lvlText w:val="●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648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7200"/>
      </w:pPr>
      <w:rPr>
        <w:u w:val="none"/>
      </w:rPr>
      <w:start w:val="1"/>
      <w:suff w:val="tab"/>
    </w:lvl>
  </w:abstractNum>
  <w:abstractNum w:abstractNumId="10">
    <w:nsid w:val="261C3B5C"/>
    <w:lvl w:ilvl="0">
      <w:isLgl w:val="false"/>
      <w:lvlJc w:val="left"/>
      <w:lvlText w:val="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1">
    <w:nsid w:val="262478D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2">
    <w:nsid w:val="266C293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3">
    <w:nsid w:val="321D3D92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4">
    <w:nsid w:val="3576285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5">
    <w:nsid w:val="361E5CD3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16">
    <w:nsid w:val="36231486"/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7">
    <w:nsid w:val="3D0D67F6"/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680"/>
        </w:tabs>
        <w:spacing/>
        <w:ind w:hanging="36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840"/>
        </w:tabs>
        <w:spacing/>
        <w:ind w:hanging="360" w:left="6840"/>
      </w:pPr>
      <w:rPr/>
      <w:start w:val="1"/>
      <w:suff w:val="tab"/>
    </w:lvl>
  </w:abstractNum>
  <w:abstractNum w:abstractNumId="18">
    <w:nsid w:val="425F69D8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19">
    <w:nsid w:val="44BA544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48482DB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4EC64242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45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88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43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54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68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79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93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10800"/>
      </w:pPr>
      <w:rPr>
        <w:rFonts w:hint="default"/>
      </w:rPr>
      <w:start w:val="1"/>
      <w:suff w:val="tab"/>
    </w:lvl>
  </w:abstractNum>
  <w:abstractNum w:abstractNumId="22">
    <w:nsid w:val="58D3574D"/>
    <w:lvl w:ilvl="0">
      <w:isLgl w:val="false"/>
      <w:lvlJc w:val="left"/>
      <w:lvlText w:val="%1"/>
      <w:numFmt w:val="decimal"/>
      <w:pPr>
        <w:pBdr/>
        <w:spacing/>
        <w:ind w:hanging="375" w:left="375"/>
      </w:pPr>
      <w:rPr>
        <w:rFonts w:hint="default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spacing/>
        <w:ind w:hanging="375" w:left="1455"/>
      </w:pPr>
      <w:rPr>
        <w:rFonts w:hint="default"/>
      </w:rPr>
      <w:start w:val="3"/>
      <w:suff w:val="tab"/>
    </w:lvl>
    <w:lvl w:ilvl="2">
      <w:isLgl w:val="false"/>
      <w:lvlJc w:val="left"/>
      <w:lvlText w:val="%1.%2.%3"/>
      <w:numFmt w:val="decimal"/>
      <w:pPr>
        <w:pBdr/>
        <w:spacing/>
        <w:ind w:hanging="720" w:left="2880"/>
      </w:pPr>
      <w:rPr>
        <w:rFonts w:hint="default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spacing/>
        <w:ind w:hanging="1080" w:left="4320"/>
      </w:pPr>
      <w:rPr>
        <w:rFonts w:hint="default"/>
      </w:rPr>
      <w:start w:val="1"/>
      <w:suff w:val="tab"/>
    </w:lvl>
    <w:lvl w:ilvl="4">
      <w:isLgl w:val="false"/>
      <w:lvlJc w:val="left"/>
      <w:lvlText w:val="%1.%2.%3.%4.%5"/>
      <w:numFmt w:val="decimal"/>
      <w:pPr>
        <w:pBdr/>
        <w:spacing/>
        <w:ind w:hanging="1080" w:left="5400"/>
      </w:pPr>
      <w:rPr>
        <w:rFonts w:hint="default"/>
      </w:rPr>
      <w:start w:val="1"/>
      <w:suff w:val="tab"/>
    </w:lvl>
    <w:lvl w:ilvl="5">
      <w:isLgl w:val="false"/>
      <w:lvlJc w:val="left"/>
      <w:lvlText w:val="%1.%2.%3.%4.%5.%6"/>
      <w:numFmt w:val="decimal"/>
      <w:pPr>
        <w:pBdr/>
        <w:spacing/>
        <w:ind w:hanging="1440" w:left="684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"/>
      <w:numFmt w:val="decimal"/>
      <w:pPr>
        <w:pBdr/>
        <w:spacing/>
        <w:ind w:hanging="1440" w:left="792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"/>
      <w:numFmt w:val="decimal"/>
      <w:pPr>
        <w:pBdr/>
        <w:spacing/>
        <w:ind w:hanging="1800" w:left="936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"/>
      <w:numFmt w:val="decimal"/>
      <w:pPr>
        <w:pBdr/>
        <w:spacing/>
        <w:ind w:hanging="2160" w:left="10800"/>
      </w:pPr>
      <w:rPr>
        <w:rFonts w:hint="default"/>
      </w:rPr>
      <w:start w:val="1"/>
      <w:suff w:val="tab"/>
    </w:lvl>
  </w:abstractNum>
  <w:abstractNum w:abstractNumId="23">
    <w:nsid w:val="65DC7770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4">
    <w:nsid w:val="66C90467"/>
    <w:lvl w:ilvl="0">
      <w:isLgl w:val="false"/>
      <w:lvlJc w:val="left"/>
      <w:lvlText w:val=""/>
      <w:numFmt w:val="bullet"/>
      <w:pPr>
        <w:pBdr/>
        <w:spacing/>
        <w:ind w:hanging="360" w:left="1429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6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58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2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4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189"/>
      </w:pPr>
      <w:rPr>
        <w:rFonts w:hint="default" w:ascii="Wingdings" w:hAnsi="Wingdings"/>
      </w:rPr>
      <w:start w:val="1"/>
      <w:suff w:val="tab"/>
    </w:lvl>
  </w:abstractNum>
  <w:abstractNum w:abstractNumId="25">
    <w:nsid w:val="70DC6EF2"/>
    <w:lvl w:ilvl="0">
      <w:isLgl w:val="false"/>
      <w:lvlJc w:val="left"/>
      <w:lvlText w:val="%1."/>
      <w:numFmt w:val="decimal"/>
      <w:pPr>
        <w:pBdr/>
        <w:spacing/>
        <w:ind w:hanging="360" w:left="142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26">
    <w:nsid w:val="7298048A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7">
    <w:nsid w:val="78120F46"/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8">
    <w:nsid w:val="796C7C38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18"/>
  </w:num>
  <w:num w:numId="2">
    <w:abstractNumId w:val="19"/>
  </w:num>
  <w:num w:numId="3">
    <w:abstractNumId w:val="6"/>
  </w:num>
  <w:num w:numId="4">
    <w:abstractNumId w:val="9"/>
  </w:num>
  <w:num w:numId="5">
    <w:abstractNumId w:val="20"/>
  </w:num>
  <w:num w:numId="6">
    <w:abstractNumId w:val="16"/>
  </w:num>
  <w:num w:numId="7">
    <w:abstractNumId w:val="5"/>
  </w:num>
  <w:num w:numId="8">
    <w:abstractNumId w:val="1"/>
  </w:num>
  <w:num w:numId="9">
    <w:abstractNumId w:val="23"/>
  </w:num>
  <w:num w:numId="10">
    <w:abstractNumId w:val="22"/>
  </w:num>
  <w:num w:numId="11">
    <w:abstractNumId w:val="12"/>
  </w:num>
  <w:num w:numId="12">
    <w:abstractNumId w:val="13"/>
  </w:num>
  <w:num w:numId="13">
    <w:abstractNumId w:val="21"/>
  </w:num>
  <w:num w:numId="14">
    <w:abstractNumId w:val="28"/>
  </w:num>
  <w:num w:numId="15">
    <w:abstractNumId w:val="11"/>
  </w:num>
  <w:num w:numId="16">
    <w:abstractNumId w:val="3"/>
  </w:num>
  <w:num w:numId="17">
    <w:abstractNumId w:val="27"/>
  </w:num>
  <w:num w:numId="18">
    <w:abstractNumId w:val="14"/>
  </w:num>
  <w:num w:numId="19">
    <w:abstractNumId w:val="15"/>
  </w:num>
  <w:num w:numId="20">
    <w:abstractNumId w:val="26"/>
  </w:num>
  <w:num w:numId="21">
    <w:abstractNumId w:val="8"/>
  </w:num>
  <w:num w:numId="22">
    <w:abstractNumId w:val="17"/>
    <w:lvlOverride w:ilvl="0">
      <w:startOverride w:val="1"/>
    </w:lvlOverride>
  </w:num>
  <w:num w:numId="23">
    <w:abstractNumId w:val="17"/>
    <w:lvlOverride w:ilvl="0">
      <w:startOverride w:val="2"/>
    </w:lvlOverride>
  </w:num>
  <w:num w:numId="24">
    <w:abstractNumId w:val="17"/>
    <w:lvlOverride w:ilvl="0">
      <w:startOverride w:val="3"/>
    </w:lvlOverride>
  </w:num>
  <w:num w:numId="25">
    <w:abstractNumId w:val="2"/>
  </w:num>
  <w:num w:numId="26">
    <w:abstractNumId w:val="7"/>
  </w:num>
  <w:num w:numId="27">
    <w:abstractNumId w:val="4"/>
  </w:num>
  <w:num w:numId="28">
    <w:abstractNumId w:val="0"/>
  </w:num>
  <w:num w:numId="29">
    <w:abstractNumId w:val="10"/>
  </w:num>
  <w:num w:numId="30">
    <w:abstractNumId w:val="24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92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9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9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9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84"/>
    <w:next w:val="78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84"/>
    <w:next w:val="78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84"/>
    <w:next w:val="78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91"/>
    <w:link w:val="78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91"/>
    <w:link w:val="78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91"/>
    <w:link w:val="78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91"/>
    <w:link w:val="78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91"/>
    <w:link w:val="7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91"/>
    <w:link w:val="79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91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9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91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91"/>
    <w:link w:val="79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91"/>
    <w:link w:val="80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84"/>
    <w:next w:val="78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91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79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84"/>
    <w:next w:val="78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91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9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8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9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91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79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9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91"/>
    <w:link w:val="814"/>
    <w:uiPriority w:val="99"/>
    <w:pPr>
      <w:pBdr/>
      <w:spacing/>
      <w:ind/>
    </w:pPr>
  </w:style>
  <w:style w:type="character" w:styleId="179">
    <w:name w:val="Footer Char"/>
    <w:basedOn w:val="791"/>
    <w:link w:val="816"/>
    <w:uiPriority w:val="99"/>
    <w:pPr>
      <w:pBdr/>
      <w:spacing/>
      <w:ind/>
    </w:pPr>
  </w:style>
  <w:style w:type="paragraph" w:styleId="180">
    <w:name w:val="Caption"/>
    <w:basedOn w:val="784"/>
    <w:next w:val="78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8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91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91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8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91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91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9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0">
    <w:name w:val="toc 2"/>
    <w:basedOn w:val="784"/>
    <w:next w:val="784"/>
    <w:uiPriority w:val="39"/>
    <w:unhideWhenUsed/>
    <w:pPr>
      <w:pBdr/>
      <w:spacing w:after="100"/>
      <w:ind w:left="220"/>
    </w:pPr>
  </w:style>
  <w:style w:type="paragraph" w:styleId="191">
    <w:name w:val="toc 3"/>
    <w:basedOn w:val="784"/>
    <w:next w:val="784"/>
    <w:uiPriority w:val="39"/>
    <w:unhideWhenUsed/>
    <w:pPr>
      <w:pBdr/>
      <w:spacing w:after="100"/>
      <w:ind w:left="440"/>
    </w:pPr>
  </w:style>
  <w:style w:type="paragraph" w:styleId="192">
    <w:name w:val="toc 4"/>
    <w:basedOn w:val="784"/>
    <w:next w:val="784"/>
    <w:uiPriority w:val="39"/>
    <w:unhideWhenUsed/>
    <w:pPr>
      <w:pBdr/>
      <w:spacing w:after="100"/>
      <w:ind w:left="660"/>
    </w:pPr>
  </w:style>
  <w:style w:type="paragraph" w:styleId="193">
    <w:name w:val="toc 5"/>
    <w:basedOn w:val="784"/>
    <w:next w:val="784"/>
    <w:uiPriority w:val="39"/>
    <w:unhideWhenUsed/>
    <w:pPr>
      <w:pBdr/>
      <w:spacing w:after="100"/>
      <w:ind w:left="880"/>
    </w:pPr>
  </w:style>
  <w:style w:type="paragraph" w:styleId="194">
    <w:name w:val="toc 6"/>
    <w:basedOn w:val="784"/>
    <w:next w:val="784"/>
    <w:uiPriority w:val="39"/>
    <w:unhideWhenUsed/>
    <w:pPr>
      <w:pBdr/>
      <w:spacing w:after="100"/>
      <w:ind w:left="1100"/>
    </w:pPr>
  </w:style>
  <w:style w:type="paragraph" w:styleId="195">
    <w:name w:val="toc 7"/>
    <w:basedOn w:val="784"/>
    <w:next w:val="784"/>
    <w:uiPriority w:val="39"/>
    <w:unhideWhenUsed/>
    <w:pPr>
      <w:pBdr/>
      <w:spacing w:after="100"/>
      <w:ind w:left="1320"/>
    </w:pPr>
  </w:style>
  <w:style w:type="paragraph" w:styleId="196">
    <w:name w:val="toc 8"/>
    <w:basedOn w:val="784"/>
    <w:next w:val="784"/>
    <w:uiPriority w:val="39"/>
    <w:unhideWhenUsed/>
    <w:pPr>
      <w:pBdr/>
      <w:spacing w:after="100"/>
      <w:ind w:left="1540"/>
    </w:pPr>
  </w:style>
  <w:style w:type="paragraph" w:styleId="197">
    <w:name w:val="toc 9"/>
    <w:basedOn w:val="784"/>
    <w:next w:val="78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91"/>
    <w:uiPriority w:val="99"/>
    <w:semiHidden/>
    <w:pPr>
      <w:pBdr/>
      <w:spacing/>
      <w:ind/>
    </w:pPr>
    <w:rPr>
      <w:color w:val="666666"/>
    </w:rPr>
  </w:style>
  <w:style w:type="paragraph" w:styleId="209">
    <w:name w:val="table of figures"/>
    <w:basedOn w:val="784"/>
    <w:next w:val="784"/>
    <w:uiPriority w:val="99"/>
    <w:unhideWhenUsed/>
    <w:pPr>
      <w:pBdr/>
      <w:spacing w:after="0" w:afterAutospacing="0"/>
      <w:ind/>
    </w:pPr>
  </w:style>
  <w:style w:type="paragraph" w:styleId="784" w:default="1">
    <w:name w:val="Normal"/>
    <w:qFormat/>
    <w:pPr>
      <w:pBdr/>
      <w:spacing/>
      <w:ind/>
    </w:pPr>
  </w:style>
  <w:style w:type="paragraph" w:styleId="785">
    <w:name w:val="Heading 1"/>
    <w:basedOn w:val="784"/>
    <w:next w:val="784"/>
    <w:pPr>
      <w:keepNext w:val="true"/>
      <w:keepLines w:val="true"/>
      <w:pBdr/>
      <w:spacing w:after="120" w:before="480"/>
      <w:ind/>
      <w:outlineLvl w:val="0"/>
    </w:pPr>
    <w:rPr>
      <w:b/>
      <w:sz w:val="48"/>
      <w:szCs w:val="48"/>
    </w:rPr>
  </w:style>
  <w:style w:type="paragraph" w:styleId="786">
    <w:name w:val="Heading 2"/>
    <w:basedOn w:val="784"/>
    <w:next w:val="784"/>
    <w:pPr>
      <w:keepNext w:val="true"/>
      <w:keepLines w:val="true"/>
      <w:pBdr/>
      <w:spacing w:after="80" w:before="360"/>
      <w:ind/>
      <w:outlineLvl w:val="1"/>
    </w:pPr>
    <w:rPr>
      <w:b/>
      <w:sz w:val="36"/>
      <w:szCs w:val="36"/>
    </w:rPr>
  </w:style>
  <w:style w:type="paragraph" w:styleId="787">
    <w:name w:val="Heading 3"/>
    <w:basedOn w:val="784"/>
    <w:next w:val="784"/>
    <w:pPr>
      <w:keepNext w:val="true"/>
      <w:keepLines w:val="true"/>
      <w:pBdr/>
      <w:spacing w:after="80" w:before="280"/>
      <w:ind/>
      <w:outlineLvl w:val="2"/>
    </w:pPr>
    <w:rPr>
      <w:b/>
      <w:sz w:val="28"/>
      <w:szCs w:val="28"/>
    </w:rPr>
  </w:style>
  <w:style w:type="paragraph" w:styleId="788">
    <w:name w:val="Heading 4"/>
    <w:basedOn w:val="784"/>
    <w:next w:val="784"/>
    <w:pPr>
      <w:keepNext w:val="true"/>
      <w:keepLines w:val="true"/>
      <w:pBdr/>
      <w:spacing w:after="40" w:before="240"/>
      <w:ind/>
      <w:outlineLvl w:val="3"/>
    </w:pPr>
    <w:rPr>
      <w:b/>
      <w:sz w:val="24"/>
      <w:szCs w:val="24"/>
    </w:rPr>
  </w:style>
  <w:style w:type="paragraph" w:styleId="789">
    <w:name w:val="Heading 5"/>
    <w:basedOn w:val="784"/>
    <w:next w:val="784"/>
    <w:pPr>
      <w:keepNext w:val="true"/>
      <w:keepLines w:val="true"/>
      <w:pBdr/>
      <w:spacing w:after="40" w:before="220"/>
      <w:ind/>
      <w:outlineLvl w:val="4"/>
    </w:pPr>
    <w:rPr>
      <w:b/>
    </w:rPr>
  </w:style>
  <w:style w:type="paragraph" w:styleId="790">
    <w:name w:val="Heading 6"/>
    <w:basedOn w:val="784"/>
    <w:next w:val="784"/>
    <w:pPr>
      <w:keepNext w:val="true"/>
      <w:keepLines w:val="true"/>
      <w:pBdr/>
      <w:spacing w:after="40" w:before="200"/>
      <w:ind/>
      <w:outlineLvl w:val="5"/>
    </w:pPr>
    <w:rPr>
      <w:b/>
      <w:sz w:val="20"/>
      <w:szCs w:val="20"/>
    </w:rPr>
  </w:style>
  <w:style w:type="character" w:styleId="791" w:default="1">
    <w:name w:val="Default Paragraph Font"/>
    <w:uiPriority w:val="1"/>
    <w:semiHidden/>
    <w:unhideWhenUsed/>
    <w:pPr>
      <w:pBdr/>
      <w:spacing/>
      <w:ind/>
    </w:pPr>
  </w:style>
  <w:style w:type="table" w:styleId="792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93" w:default="1">
    <w:name w:val="No List"/>
    <w:uiPriority w:val="99"/>
    <w:semiHidden/>
    <w:unhideWhenUsed/>
    <w:pPr>
      <w:pBdr/>
      <w:spacing/>
      <w:ind/>
    </w:pPr>
  </w:style>
  <w:style w:type="table" w:styleId="794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5">
    <w:name w:val="Title"/>
    <w:basedOn w:val="784"/>
    <w:next w:val="784"/>
    <w:pPr>
      <w:keepNext w:val="true"/>
      <w:keepLines w:val="true"/>
      <w:pBdr/>
      <w:spacing w:after="120" w:before="480"/>
      <w:ind/>
    </w:pPr>
    <w:rPr>
      <w:b/>
      <w:sz w:val="72"/>
      <w:szCs w:val="72"/>
    </w:rPr>
  </w:style>
  <w:style w:type="table" w:styleId="796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Table Normal"/>
    <w:pPr>
      <w:pBdr/>
      <w:spacing/>
      <w:ind/>
    </w:pPr>
    <w:tblPr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8">
    <w:name w:val="Balloon Text"/>
    <w:basedOn w:val="784"/>
    <w:link w:val="799"/>
    <w:uiPriority w:val="99"/>
    <w:semiHidden/>
    <w:unhideWhenUsed/>
    <w:pPr>
      <w:pBdr/>
      <w:spacing/>
      <w:ind/>
    </w:pPr>
    <w:rPr>
      <w:rFonts w:ascii="Tahoma" w:hAnsi="Tahoma" w:cs="Tahoma"/>
      <w:sz w:val="16"/>
      <w:szCs w:val="16"/>
    </w:rPr>
  </w:style>
  <w:style w:type="character" w:styleId="799" w:customStyle="1">
    <w:name w:val="Текст выноски Знак"/>
    <w:basedOn w:val="791"/>
    <w:link w:val="798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800">
    <w:name w:val="Hyperlink"/>
    <w:basedOn w:val="791"/>
    <w:uiPriority w:val="99"/>
    <w:unhideWhenUsed/>
    <w:pPr>
      <w:pBdr/>
      <w:spacing/>
      <w:ind/>
    </w:pPr>
    <w:rPr>
      <w:color w:val="0000ff"/>
      <w:u w:val="single"/>
    </w:rPr>
  </w:style>
  <w:style w:type="paragraph" w:styleId="801">
    <w:name w:val="Normal (Web)"/>
    <w:basedOn w:val="784"/>
    <w:uiPriority w:val="99"/>
    <w:unhideWhenUsed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02" w:customStyle="1">
    <w:name w:val="mwe-math-mathml-inline"/>
    <w:basedOn w:val="791"/>
    <w:pPr>
      <w:pBdr/>
      <w:spacing/>
      <w:ind/>
    </w:pPr>
  </w:style>
  <w:style w:type="table" w:styleId="803">
    <w:name w:val="Table Grid"/>
    <w:basedOn w:val="792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04" w:customStyle="1">
    <w:name w:val="apple-tab-span"/>
    <w:basedOn w:val="791"/>
    <w:pPr>
      <w:pBdr/>
      <w:spacing/>
      <w:ind/>
    </w:pPr>
  </w:style>
  <w:style w:type="paragraph" w:styleId="805">
    <w:name w:val="Subtitle"/>
    <w:basedOn w:val="784"/>
    <w:next w:val="784"/>
    <w:pPr>
      <w:keepNext w:val="true"/>
      <w:keepLines w:val="true"/>
      <w:pBdr/>
      <w:spacing w:after="80" w:before="360"/>
      <w:ind/>
    </w:pPr>
    <w:rPr>
      <w:rFonts w:ascii="Georgia" w:hAnsi="Georgia" w:eastAsia="Georgia" w:cs="Georgia"/>
      <w:i/>
      <w:color w:val="666666"/>
      <w:sz w:val="48"/>
      <w:szCs w:val="48"/>
    </w:rPr>
  </w:style>
  <w:style w:type="table" w:styleId="806" w:customStyle="1">
    <w:name w:val="StGen0"/>
    <w:basedOn w:val="797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7">
    <w:name w:val="List Paragraph"/>
    <w:basedOn w:val="784"/>
    <w:uiPriority w:val="1"/>
    <w:qFormat/>
    <w:pPr>
      <w:pBdr/>
      <w:spacing/>
      <w:ind w:left="720"/>
      <w:contextualSpacing w:val="true"/>
    </w:pPr>
  </w:style>
  <w:style w:type="table" w:styleId="808" w:customStyle="1">
    <w:name w:val="StGen1"/>
    <w:basedOn w:val="797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StGen2"/>
    <w:basedOn w:val="796"/>
    <w:pPr>
      <w:pBdr/>
      <w:spacing/>
      <w:ind/>
    </w:pPr>
    <w:tblPr>
      <w:tblStyleRowBandSize w:val="1"/>
      <w:tblStyleColBandSize w:val="1"/>
      <w:tblCellMar>
        <w:left w:w="15" w:type="dxa"/>
        <w:top w:w="15" w:type="dxa"/>
        <w:right w:w="15" w:type="dxa"/>
        <w:bottom w:w="15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0" w:customStyle="1">
    <w:name w:val="richfactdown-paragraph"/>
    <w:basedOn w:val="784"/>
    <w:pPr>
      <w:pBdr/>
      <w:spacing w:after="100" w:afterAutospacing="1" w:before="100" w:beforeAutospacing="1"/>
      <w:ind/>
    </w:pPr>
    <w:rPr>
      <w:rFonts w:ascii="Times New Roman" w:hAnsi="Times New Roman" w:eastAsia="Times New Roman" w:cs="Times New Roman"/>
      <w:sz w:val="24"/>
      <w:szCs w:val="24"/>
    </w:rPr>
  </w:style>
  <w:style w:type="character" w:styleId="811">
    <w:name w:val="Strong"/>
    <w:basedOn w:val="791"/>
    <w:uiPriority w:val="22"/>
    <w:qFormat/>
    <w:pPr>
      <w:pBdr/>
      <w:spacing/>
      <w:ind/>
    </w:pPr>
    <w:rPr>
      <w:b/>
      <w:bCs/>
    </w:rPr>
  </w:style>
  <w:style w:type="paragraph" w:styleId="812">
    <w:name w:val="TOC Heading"/>
    <w:basedOn w:val="785"/>
    <w:next w:val="784"/>
    <w:uiPriority w:val="39"/>
    <w:unhideWhenUsed/>
    <w:qFormat/>
    <w:pPr>
      <w:pBdr/>
      <w:spacing w:after="0" w:before="240" w:line="259" w:lineRule="auto"/>
      <w:ind/>
      <w:outlineLvl w:val="9"/>
    </w:pPr>
    <w:rPr>
      <w:rFonts w:asciiTheme="majorHAnsi" w:hAnsiTheme="majorHAnsi" w:eastAsiaTheme="majorEastAsia" w:cstheme="majorBidi"/>
      <w:b w:val="0"/>
      <w:color w:val="365f91" w:themeColor="accent1" w:themeShade="BF"/>
      <w:sz w:val="32"/>
      <w:szCs w:val="32"/>
    </w:rPr>
  </w:style>
  <w:style w:type="paragraph" w:styleId="813">
    <w:name w:val="toc 1"/>
    <w:basedOn w:val="784"/>
    <w:next w:val="784"/>
    <w:uiPriority w:val="39"/>
    <w:unhideWhenUsed/>
    <w:pPr>
      <w:pBdr/>
      <w:spacing w:after="100"/>
      <w:ind/>
    </w:pPr>
  </w:style>
  <w:style w:type="paragraph" w:styleId="814">
    <w:name w:val="Header"/>
    <w:basedOn w:val="784"/>
    <w:link w:val="815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15" w:customStyle="1">
    <w:name w:val="Верхний колонтитул Знак"/>
    <w:basedOn w:val="791"/>
    <w:link w:val="814"/>
    <w:uiPriority w:val="99"/>
    <w:pPr>
      <w:pBdr/>
      <w:spacing/>
      <w:ind/>
    </w:pPr>
  </w:style>
  <w:style w:type="paragraph" w:styleId="816">
    <w:name w:val="Footer"/>
    <w:basedOn w:val="784"/>
    <w:link w:val="817"/>
    <w:uiPriority w:val="99"/>
    <w:unhideWhenUsed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817" w:customStyle="1">
    <w:name w:val="Нижний колонтитул Знак"/>
    <w:basedOn w:val="791"/>
    <w:link w:val="816"/>
    <w:uiPriority w:val="99"/>
    <w:pPr>
      <w:pBdr/>
      <w:spacing/>
      <w:ind/>
    </w:pPr>
  </w:style>
  <w:style w:type="character" w:styleId="818" w:customStyle="1">
    <w:name w:val="ng-star-inserted"/>
    <w:basedOn w:val="791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Q6hB5T4BA48gXbDbRm3Cb4mWwA==">CgMxLjAyCWguMWZvYjl0ZTIIaC5namRneHMyCWguMzBqMHpsbDgAciExMnkxMkpTemFZbjBCNG9qZjNOODh4ejhEOXpaeVlUblg=</go:docsCustomData>
</go:gDocsCustomXmlDataStorage>
</file>

<file path=customXml/itemProps1.xml><?xml version="1.0" encoding="utf-8"?>
<ds:datastoreItem xmlns:ds="http://schemas.openxmlformats.org/officeDocument/2006/customXml" ds:itemID="{642F92CE-2FF9-4811-A92C-1EBD480658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revision>32</cp:revision>
  <dcterms:created xsi:type="dcterms:W3CDTF">2024-05-21T17:57:00Z</dcterms:created>
  <dcterms:modified xsi:type="dcterms:W3CDTF">2025-10-18T01:28:21Z</dcterms:modified>
</cp:coreProperties>
</file>